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728"/>
        <w:gridCol w:w="7486"/>
      </w:tblGrid>
      <w:tr w:rsidR="00742C3D" w:rsidTr="001F7BC0">
        <w:trPr>
          <w:trHeight w:val="547"/>
        </w:trPr>
        <w:tc>
          <w:tcPr>
            <w:tcW w:w="1728" w:type="dxa"/>
            <w:vAlign w:val="center"/>
          </w:tcPr>
          <w:p w:rsidR="00742C3D" w:rsidRPr="00742C3D" w:rsidRDefault="00742C3D" w:rsidP="00742C3D">
            <w:pPr>
              <w:jc w:val="center"/>
              <w:rPr>
                <w:b/>
              </w:rPr>
            </w:pPr>
            <w:bookmarkStart w:id="0" w:name="_GoBack"/>
            <w:bookmarkEnd w:id="0"/>
            <w:r w:rsidRPr="00742C3D">
              <w:rPr>
                <w:b/>
              </w:rPr>
              <w:t>GUÍA Nº 1</w:t>
            </w:r>
          </w:p>
        </w:tc>
        <w:tc>
          <w:tcPr>
            <w:tcW w:w="7486" w:type="dxa"/>
            <w:vAlign w:val="center"/>
          </w:tcPr>
          <w:p w:rsidR="00742C3D" w:rsidRPr="00742C3D" w:rsidRDefault="001D64FB" w:rsidP="00742C3D">
            <w:pPr>
              <w:jc w:val="center"/>
              <w:rPr>
                <w:b/>
              </w:rPr>
            </w:pPr>
            <w:r>
              <w:rPr>
                <w:b/>
              </w:rPr>
              <w:t>Descuento de remesas de Efectos</w:t>
            </w:r>
          </w:p>
        </w:tc>
      </w:tr>
    </w:tbl>
    <w:p w:rsidR="00423D70" w:rsidRDefault="001F7BC0" w:rsidP="001F7BC0">
      <w:pPr>
        <w:spacing w:line="240" w:lineRule="auto"/>
      </w:pPr>
      <w:r>
        <w:t>Estimados alumnos:</w:t>
      </w:r>
    </w:p>
    <w:p w:rsidR="001F7BC0" w:rsidRDefault="001D64FB" w:rsidP="006D3CFC">
      <w:pPr>
        <w:spacing w:line="240" w:lineRule="auto"/>
        <w:jc w:val="both"/>
      </w:pPr>
      <w:r>
        <w:t>Nos encontramos con varias letras de cambio con distintos vencimientos y necesitamos llevarlas al banco para descontarlas porque no tenemos liquidez</w:t>
      </w:r>
      <w:r w:rsidR="00C30316">
        <w:t xml:space="preserve">. Este es un problema típico de las empresas que tienen necesidades de financiación. Os propongo dos desempeños (ya sabéis =actividades </w:t>
      </w:r>
      <w:proofErr w:type="spellStart"/>
      <w:r w:rsidR="00C30316">
        <w:t>jeje</w:t>
      </w:r>
      <w:proofErr w:type="spellEnd"/>
      <w:proofErr w:type="gramStart"/>
      <w:r w:rsidR="00C30316">
        <w:t>..)</w:t>
      </w:r>
      <w:proofErr w:type="gramEnd"/>
      <w:r w:rsidR="00C30316">
        <w:t xml:space="preserve">, el primero os voy a ayudar resolviéndolo en la pizarra (pero vosotros me ayudáis con los cálculos en la hoja de Excel) y el segundo los realizaréis vosotros en grupo cooperativo. Are </w:t>
      </w:r>
      <w:proofErr w:type="spellStart"/>
      <w:r w:rsidR="00C30316">
        <w:t>you</w:t>
      </w:r>
      <w:proofErr w:type="spellEnd"/>
      <w:r w:rsidR="00C30316">
        <w:t xml:space="preserve"> </w:t>
      </w:r>
      <w:proofErr w:type="spellStart"/>
      <w:r w:rsidR="00C30316">
        <w:t>ready</w:t>
      </w:r>
      <w:proofErr w:type="spellEnd"/>
      <w:r w:rsidR="00C30316">
        <w:t>?</w:t>
      </w:r>
    </w:p>
    <w:p w:rsidR="001F7BC0" w:rsidRDefault="001F7BC0" w:rsidP="001F7BC0">
      <w:pPr>
        <w:spacing w:line="240" w:lineRule="auto"/>
      </w:pPr>
      <w:r w:rsidRPr="001F7BC0">
        <w:rPr>
          <w:b/>
        </w:rPr>
        <w:t>Propósito</w:t>
      </w:r>
      <w:r w:rsidR="001D64FB">
        <w:t xml:space="preserve">: Descontar </w:t>
      </w:r>
      <w:r w:rsidR="00272047">
        <w:t>remesas de efectos. Metas 1,2 y 3.</w:t>
      </w:r>
    </w:p>
    <w:p w:rsidR="00F11271" w:rsidRDefault="00F11271" w:rsidP="001D64FB">
      <w:pPr>
        <w:spacing w:line="240" w:lineRule="auto"/>
        <w:jc w:val="both"/>
        <w:rPr>
          <w:b/>
        </w:rPr>
      </w:pPr>
      <w:r w:rsidRPr="0089781A">
        <w:rPr>
          <w:b/>
        </w:rPr>
        <w:t xml:space="preserve">Agrupamiento: </w:t>
      </w:r>
      <w:r w:rsidRPr="00F11271">
        <w:t>Grupo</w:t>
      </w:r>
      <w:r w:rsidRPr="0089781A">
        <w:t xml:space="preserve"> de aprendizaje cooperativo</w:t>
      </w:r>
      <w:r>
        <w:t>.</w:t>
      </w:r>
      <w:r w:rsidR="001D64FB">
        <w:t xml:space="preserve"> El profesor formará dos grupos. A continuación se explican los diferentes roles de los alumnos, es importante se vaya rotando conforme se van realizando actividades.</w:t>
      </w:r>
    </w:p>
    <w:p w:rsidR="00F11271" w:rsidRDefault="00F11271" w:rsidP="00F11271">
      <w:pPr>
        <w:pStyle w:val="Prrafodelista"/>
        <w:numPr>
          <w:ilvl w:val="0"/>
          <w:numId w:val="9"/>
        </w:numPr>
        <w:spacing w:line="240" w:lineRule="auto"/>
        <w:jc w:val="both"/>
      </w:pPr>
      <w:r>
        <w:t>Un compañero irá tomando nota manualmen</w:t>
      </w:r>
      <w:r w:rsidR="001D64FB">
        <w:t>te</w:t>
      </w:r>
      <w:r>
        <w:t xml:space="preserve">, incluyendo de forma específica los cálculos necesarios para obtener intereses y comisiones. Esta hoja servirá de apuntes para el grupo. </w:t>
      </w:r>
    </w:p>
    <w:p w:rsidR="00F11271" w:rsidRDefault="00F11271" w:rsidP="00F11271">
      <w:pPr>
        <w:pStyle w:val="Prrafodelista"/>
        <w:numPr>
          <w:ilvl w:val="0"/>
          <w:numId w:val="9"/>
        </w:numPr>
        <w:spacing w:line="240" w:lineRule="auto"/>
        <w:jc w:val="both"/>
      </w:pPr>
      <w:r>
        <w:t>Otro compañero irá completando la hoja de cálculo de Excel en un portátil.</w:t>
      </w:r>
    </w:p>
    <w:p w:rsidR="00F11271" w:rsidRDefault="00F11271" w:rsidP="00F11271">
      <w:pPr>
        <w:pStyle w:val="Prrafodelista"/>
        <w:numPr>
          <w:ilvl w:val="0"/>
          <w:numId w:val="9"/>
        </w:numPr>
        <w:spacing w:line="240" w:lineRule="auto"/>
        <w:jc w:val="both"/>
      </w:pPr>
      <w:r>
        <w:t>Un tercer compañero realizará los cálculos con la calculadora</w:t>
      </w:r>
    </w:p>
    <w:p w:rsidR="001D64FB" w:rsidRDefault="00F11271" w:rsidP="001D64FB">
      <w:pPr>
        <w:pStyle w:val="Prrafodelista"/>
        <w:numPr>
          <w:ilvl w:val="0"/>
          <w:numId w:val="9"/>
        </w:numPr>
        <w:spacing w:line="240" w:lineRule="auto"/>
        <w:jc w:val="both"/>
      </w:pPr>
      <w:r>
        <w:t>Un cuarto compañero irá dirigiendo al grupo sobre lo qu</w:t>
      </w:r>
      <w:r w:rsidR="001D64FB">
        <w:t>e hay que hacer en cada momento.</w:t>
      </w:r>
    </w:p>
    <w:p w:rsidR="00C30316" w:rsidRPr="00C30316" w:rsidRDefault="002E21CC" w:rsidP="00C30316">
      <w:pPr>
        <w:spacing w:line="240" w:lineRule="auto"/>
        <w:rPr>
          <w:b/>
        </w:rPr>
      </w:pPr>
      <w:r>
        <w:rPr>
          <w:b/>
        </w:rPr>
        <w:t>Enunciado</w:t>
      </w:r>
      <w:r w:rsidR="00C30316">
        <w:rPr>
          <w:b/>
        </w:rPr>
        <w:t xml:space="preserve"> 1</w:t>
      </w:r>
      <w:r>
        <w:rPr>
          <w:b/>
        </w:rPr>
        <w:t>:</w:t>
      </w:r>
      <w:r w:rsidR="00C30316">
        <w:rPr>
          <w:b/>
        </w:rPr>
        <w:t xml:space="preserve"> </w:t>
      </w:r>
      <w:r w:rsidR="00C30316">
        <w:rPr>
          <w:i/>
        </w:rPr>
        <w:t>Un comerciante tiene concertada con una oficina de León del banco BANKALIA una línea de descuento. El día 4 de noviembre de 2014 procede a la entrega en el banco de una remesa de efectos para ser descontados con las siguientes características: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089"/>
        <w:gridCol w:w="1009"/>
        <w:gridCol w:w="1510"/>
        <w:gridCol w:w="1917"/>
        <w:gridCol w:w="967"/>
        <w:gridCol w:w="946"/>
      </w:tblGrid>
      <w:tr w:rsidR="00D1524C" w:rsidTr="00D1524C">
        <w:trPr>
          <w:trHeight w:val="28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4C" w:rsidRPr="00D1524C" w:rsidRDefault="00C30316" w:rsidP="00D152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Domiciliada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Aceptada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Librado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Fecha emisión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Fecha vencimiento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Plaza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Importe</w:t>
            </w:r>
          </w:p>
        </w:tc>
      </w:tr>
      <w:tr w:rsidR="00D1524C" w:rsidTr="00D1524C">
        <w:trPr>
          <w:trHeight w:val="31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OIW S.A.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08/10/2014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08/11/2014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Palencia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3.900</w:t>
            </w:r>
          </w:p>
        </w:tc>
      </w:tr>
      <w:tr w:rsidR="00C30316" w:rsidTr="00D1524C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ÑES S.A.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10/10/2014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10/01/2015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León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5.200</w:t>
            </w:r>
          </w:p>
        </w:tc>
      </w:tr>
      <w:tr w:rsidR="00C30316" w:rsidTr="00D1524C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DSK S.A.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15/10/2014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15/02/2015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León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4.700</w:t>
            </w:r>
          </w:p>
        </w:tc>
      </w:tr>
      <w:tr w:rsidR="00C30316" w:rsidTr="00D1524C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OWS S.L.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24/10/2014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24/12/2014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Zamora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2.400</w:t>
            </w:r>
          </w:p>
        </w:tc>
      </w:tr>
    </w:tbl>
    <w:p w:rsidR="00C30316" w:rsidRDefault="00C30316" w:rsidP="00C30316">
      <w:pPr>
        <w:spacing w:after="120"/>
        <w:rPr>
          <w:rFonts w:ascii="Trebuchet MS" w:hAnsi="Trebuchet MS"/>
          <w:i/>
          <w:sz w:val="20"/>
        </w:rPr>
      </w:pPr>
    </w:p>
    <w:p w:rsidR="00C30316" w:rsidRDefault="00C30316" w:rsidP="00C30316">
      <w:pPr>
        <w:spacing w:after="120"/>
        <w:rPr>
          <w:i/>
        </w:rPr>
      </w:pPr>
      <w:r>
        <w:rPr>
          <w:i/>
        </w:rPr>
        <w:t>El tipo de descuento comercial que aplica el banco en función del número de días de descuento es (mínimo 14 días):</w:t>
      </w: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990"/>
        <w:gridCol w:w="3409"/>
        <w:gridCol w:w="1100"/>
        <w:gridCol w:w="2749"/>
      </w:tblGrid>
      <w:tr w:rsidR="00C30316" w:rsidTr="00C30316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Tipos de descuento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Características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Gastos de correo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Comisión de cobro</w:t>
            </w:r>
          </w:p>
        </w:tc>
      </w:tr>
      <w:tr w:rsidR="00C30316" w:rsidTr="00C3031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Hasta 30 días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5,50 %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Efectos domiciliados aceptados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0,21 €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0,5 % Nominal (mín. 6,00 €)</w:t>
            </w:r>
          </w:p>
        </w:tc>
      </w:tr>
      <w:tr w:rsidR="00C30316" w:rsidTr="00C3031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De 31 a 60 días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6,00 %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Efectos domiciliados no aceptados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0,53 €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1 % Nominal (min. 6,10 €)</w:t>
            </w:r>
          </w:p>
        </w:tc>
      </w:tr>
      <w:tr w:rsidR="00C30316" w:rsidTr="00C3031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De 61 a 90 días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6,50 %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Efectos no domiciliados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0,53 €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1,5 % Nominal (min. 6,20 €)</w:t>
            </w:r>
          </w:p>
        </w:tc>
      </w:tr>
      <w:tr w:rsidR="00C30316" w:rsidTr="00C3031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De 91 a 180 días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7,00 %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Comisión de timbrado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0,10 €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</w:p>
        </w:tc>
      </w:tr>
      <w:tr w:rsidR="00C30316" w:rsidTr="00C3031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De 181 días a 1 año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6" w:rsidRDefault="00C30316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7,75 %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6" w:rsidRDefault="00C30316">
            <w:pPr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C30316" w:rsidRDefault="00C30316" w:rsidP="00C30316">
      <w:pPr>
        <w:spacing w:after="120"/>
        <w:rPr>
          <w:i/>
        </w:rPr>
      </w:pPr>
      <w:r>
        <w:rPr>
          <w:i/>
        </w:rPr>
        <w:t>Timbres:</w:t>
      </w:r>
    </w:p>
    <w:p w:rsidR="00C30316" w:rsidRDefault="00C30316" w:rsidP="00D1524C">
      <w:pPr>
        <w:spacing w:after="0" w:line="240" w:lineRule="auto"/>
        <w:rPr>
          <w:i/>
        </w:rPr>
      </w:pPr>
      <w:r>
        <w:rPr>
          <w:i/>
        </w:rPr>
        <w:lastRenderedPageBreak/>
        <w:t>Hasta 500 €</w:t>
      </w:r>
      <w:r>
        <w:rPr>
          <w:i/>
        </w:rPr>
        <w:tab/>
      </w:r>
      <w:r>
        <w:rPr>
          <w:i/>
        </w:rPr>
        <w:tab/>
      </w:r>
      <w:r>
        <w:rPr>
          <w:i/>
          <w:color w:val="FFFFFF"/>
        </w:rPr>
        <w:t>0</w:t>
      </w:r>
      <w:r>
        <w:rPr>
          <w:i/>
        </w:rPr>
        <w:t>1,60 €</w:t>
      </w:r>
    </w:p>
    <w:p w:rsidR="00C30316" w:rsidRDefault="00C30316" w:rsidP="00D1524C">
      <w:pPr>
        <w:spacing w:after="0" w:line="240" w:lineRule="auto"/>
        <w:rPr>
          <w:i/>
        </w:rPr>
      </w:pPr>
      <w:r>
        <w:rPr>
          <w:i/>
        </w:rPr>
        <w:t>De 501 a 3.000 €</w:t>
      </w:r>
      <w:r>
        <w:rPr>
          <w:i/>
        </w:rPr>
        <w:tab/>
        <w:t>14,00 €</w:t>
      </w:r>
    </w:p>
    <w:p w:rsidR="00C30316" w:rsidRDefault="00C30316" w:rsidP="00D1524C">
      <w:pPr>
        <w:spacing w:after="0" w:line="240" w:lineRule="auto"/>
        <w:rPr>
          <w:i/>
        </w:rPr>
      </w:pPr>
      <w:r>
        <w:rPr>
          <w:i/>
        </w:rPr>
        <w:t>De 3.001 a 6.000 €</w:t>
      </w:r>
      <w:r>
        <w:rPr>
          <w:i/>
        </w:rPr>
        <w:tab/>
        <w:t>30,00 €</w:t>
      </w:r>
    </w:p>
    <w:p w:rsidR="00C30316" w:rsidRDefault="00C30316" w:rsidP="00C30316">
      <w:pPr>
        <w:spacing w:after="120"/>
        <w:rPr>
          <w:i/>
        </w:rPr>
      </w:pPr>
      <w:r>
        <w:rPr>
          <w:i/>
        </w:rPr>
        <w:t>Calcular el efectivo que ingresará el banco al comerciante.</w:t>
      </w:r>
    </w:p>
    <w:tbl>
      <w:tblPr>
        <w:tblW w:w="11086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90"/>
        <w:gridCol w:w="880"/>
        <w:gridCol w:w="990"/>
        <w:gridCol w:w="550"/>
        <w:gridCol w:w="990"/>
        <w:gridCol w:w="550"/>
        <w:gridCol w:w="1210"/>
        <w:gridCol w:w="770"/>
        <w:gridCol w:w="880"/>
        <w:gridCol w:w="770"/>
        <w:gridCol w:w="990"/>
        <w:gridCol w:w="636"/>
      </w:tblGrid>
      <w:tr w:rsidR="00C30316" w:rsidTr="00C30316">
        <w:trPr>
          <w:trHeight w:val="5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Librado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Plaza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Nominal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Fecha vto.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Días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N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os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comer.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Tipo dto.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Descuento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Porct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Comis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Importe Comisión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Correo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Comis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. Timbrado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0316" w:rsidRDefault="00C30316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Timbre</w:t>
            </w:r>
          </w:p>
        </w:tc>
      </w:tr>
      <w:tr w:rsidR="00C30316" w:rsidTr="00C30316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30316" w:rsidTr="00C30316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30316" w:rsidTr="00C30316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30316" w:rsidTr="00C30316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30316" w:rsidTr="00C30316">
        <w:trPr>
          <w:trHeight w:val="3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316" w:rsidRDefault="00C3031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30316" w:rsidRDefault="00C30316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D1524C" w:rsidRPr="00D1524C" w:rsidRDefault="00D1524C" w:rsidP="001F7BC0">
      <w:pPr>
        <w:spacing w:line="240" w:lineRule="auto"/>
        <w:rPr>
          <w:b/>
          <w:sz w:val="16"/>
          <w:szCs w:val="16"/>
        </w:rPr>
      </w:pPr>
    </w:p>
    <w:p w:rsidR="00D1524C" w:rsidRPr="00D1524C" w:rsidRDefault="00D1524C" w:rsidP="001F7BC0">
      <w:pPr>
        <w:spacing w:line="240" w:lineRule="auto"/>
      </w:pPr>
      <w:r w:rsidRPr="00D1524C">
        <w:t>La factura de negociación deberá tener el siguiente aspecto:</w:t>
      </w:r>
    </w:p>
    <w:p w:rsidR="00D1524C" w:rsidRDefault="00D1524C" w:rsidP="00D1524C">
      <w:pPr>
        <w:spacing w:line="240" w:lineRule="auto"/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4EB1CC7B" wp14:editId="245BC9D6">
            <wp:extent cx="5210354" cy="29751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154" t="17239" r="24769" b="28855"/>
                    <a:stretch/>
                  </pic:blipFill>
                  <pic:spPr bwMode="auto">
                    <a:xfrm>
                      <a:off x="0" y="0"/>
                      <a:ext cx="5210354" cy="2975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4B0" w:rsidRDefault="00C30316" w:rsidP="00E464B0">
      <w:pPr>
        <w:spacing w:line="240" w:lineRule="auto"/>
        <w:rPr>
          <w:i/>
        </w:rPr>
      </w:pPr>
      <w:r>
        <w:rPr>
          <w:b/>
        </w:rPr>
        <w:t>Enunciado</w:t>
      </w:r>
      <w:r w:rsidR="00E464B0">
        <w:rPr>
          <w:b/>
        </w:rPr>
        <w:t xml:space="preserve"> 2</w:t>
      </w:r>
      <w:r>
        <w:rPr>
          <w:b/>
        </w:rPr>
        <w:t>:</w:t>
      </w:r>
      <w:r w:rsidR="00E464B0">
        <w:rPr>
          <w:b/>
        </w:rPr>
        <w:t xml:space="preserve"> </w:t>
      </w:r>
      <w:r w:rsidR="00E464B0">
        <w:rPr>
          <w:i/>
        </w:rPr>
        <w:t>Un comerciante tiene concertada con una oficina de León del banco LEGIOBANK una línea de descuento. El día 7 de noviembre de 2014 procede a la entrega en el banco de una remesa de efectos para ser descontados con las siguientes características: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089"/>
        <w:gridCol w:w="1026"/>
        <w:gridCol w:w="1510"/>
        <w:gridCol w:w="1917"/>
        <w:gridCol w:w="1101"/>
        <w:gridCol w:w="946"/>
      </w:tblGrid>
      <w:tr w:rsidR="00E464B0" w:rsidTr="00D1524C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Domiciliada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Aceptada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Librado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Fecha emisión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Fecha vencimiento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Plaza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b/>
                <w:i/>
              </w:rPr>
              <w:t>Importe</w:t>
            </w:r>
          </w:p>
        </w:tc>
      </w:tr>
      <w:tr w:rsidR="00E464B0" w:rsidTr="00D1524C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KLW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02/10/2014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02/01/2015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2.500</w:t>
            </w:r>
          </w:p>
        </w:tc>
      </w:tr>
      <w:tr w:rsidR="00E464B0" w:rsidTr="00D1524C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IOX S.L.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11/10/2014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11/12/2014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Valladolid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1.800</w:t>
            </w:r>
          </w:p>
        </w:tc>
      </w:tr>
      <w:tr w:rsidR="00E464B0" w:rsidTr="00D1524C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EWC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14/10/2014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14/11/2014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3.600</w:t>
            </w:r>
          </w:p>
        </w:tc>
      </w:tr>
      <w:tr w:rsidR="00E464B0" w:rsidTr="00D1524C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SAC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28/10/2014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28/02/2015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Ávila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4.200</w:t>
            </w:r>
          </w:p>
        </w:tc>
      </w:tr>
    </w:tbl>
    <w:p w:rsidR="00E464B0" w:rsidRDefault="00E464B0" w:rsidP="00E464B0">
      <w:pPr>
        <w:spacing w:after="120"/>
        <w:rPr>
          <w:i/>
        </w:rPr>
      </w:pPr>
      <w:r>
        <w:rPr>
          <w:i/>
        </w:rPr>
        <w:t>El tipo de descuento comercial que aplica el banco en función del número de días de descuento es (mínimo 14 días):</w:t>
      </w: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990"/>
        <w:gridCol w:w="3409"/>
        <w:gridCol w:w="1100"/>
        <w:gridCol w:w="2749"/>
      </w:tblGrid>
      <w:tr w:rsidR="00E464B0" w:rsidTr="00E464B0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lastRenderedPageBreak/>
              <w:t>Tipos de descuento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Características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Gastos de correo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i/>
              </w:rPr>
              <w:t>Comisión de cobro</w:t>
            </w:r>
          </w:p>
        </w:tc>
      </w:tr>
      <w:tr w:rsidR="00E464B0" w:rsidTr="00E464B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Hasta 30 días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5,50%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Efectos domiciliados aceptados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0,21 €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0,5 % Nominal (mín. 9 €)</w:t>
            </w:r>
          </w:p>
        </w:tc>
      </w:tr>
      <w:tr w:rsidR="00E464B0" w:rsidTr="00E464B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De 31 a 60 días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5,75%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Efectos domiciliados no aceptados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0,53 €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1 % Nominal (min. 12 €)</w:t>
            </w:r>
          </w:p>
        </w:tc>
      </w:tr>
      <w:tr w:rsidR="00E464B0" w:rsidTr="00E464B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De 61 a 90 días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6,00%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Efectos no domiciliados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0,53 €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1,5 % Nominal (min. 18 €)</w:t>
            </w:r>
          </w:p>
        </w:tc>
      </w:tr>
      <w:tr w:rsidR="00E464B0" w:rsidTr="00E464B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De 91 a 180 días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6,25%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Comisión de timbrado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right"/>
              <w:rPr>
                <w:rFonts w:ascii="Trebuchet MS" w:hAnsi="Trebuchet MS"/>
                <w:i/>
              </w:rPr>
            </w:pPr>
            <w:r>
              <w:rPr>
                <w:i/>
              </w:rPr>
              <w:t>0,10 €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</w:p>
        </w:tc>
      </w:tr>
      <w:tr w:rsidR="00E464B0" w:rsidTr="00E464B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i/>
              </w:rPr>
              <w:t>De 181 días a 1 año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cs="Arial"/>
                <w:szCs w:val="20"/>
              </w:rPr>
              <w:t>6,50%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E464B0" w:rsidRDefault="00E464B0" w:rsidP="00E464B0">
      <w:pPr>
        <w:spacing w:after="120"/>
        <w:rPr>
          <w:i/>
        </w:rPr>
      </w:pPr>
      <w:r>
        <w:rPr>
          <w:i/>
        </w:rPr>
        <w:t>Timbres:</w:t>
      </w:r>
    </w:p>
    <w:p w:rsidR="00E464B0" w:rsidRDefault="00E464B0" w:rsidP="00D1524C">
      <w:pPr>
        <w:spacing w:after="0" w:line="240" w:lineRule="auto"/>
        <w:rPr>
          <w:i/>
        </w:rPr>
      </w:pPr>
      <w:r>
        <w:rPr>
          <w:i/>
        </w:rPr>
        <w:t>Hasta 500 €</w:t>
      </w:r>
      <w:r>
        <w:rPr>
          <w:i/>
        </w:rPr>
        <w:tab/>
      </w:r>
      <w:r>
        <w:rPr>
          <w:i/>
        </w:rPr>
        <w:tab/>
      </w:r>
      <w:r>
        <w:rPr>
          <w:i/>
          <w:color w:val="FFFFFF"/>
        </w:rPr>
        <w:t>0</w:t>
      </w:r>
      <w:r>
        <w:rPr>
          <w:i/>
        </w:rPr>
        <w:t>1,60 €</w:t>
      </w:r>
    </w:p>
    <w:p w:rsidR="00E464B0" w:rsidRDefault="00E464B0" w:rsidP="00D1524C">
      <w:pPr>
        <w:spacing w:after="0" w:line="240" w:lineRule="auto"/>
        <w:rPr>
          <w:i/>
        </w:rPr>
      </w:pPr>
      <w:r>
        <w:rPr>
          <w:i/>
        </w:rPr>
        <w:t>De 501 a 3.000 €</w:t>
      </w:r>
      <w:r>
        <w:rPr>
          <w:i/>
        </w:rPr>
        <w:tab/>
        <w:t>14,00 €</w:t>
      </w:r>
    </w:p>
    <w:p w:rsidR="00E464B0" w:rsidRDefault="00E464B0" w:rsidP="00D1524C">
      <w:pPr>
        <w:spacing w:after="0" w:line="240" w:lineRule="auto"/>
        <w:rPr>
          <w:i/>
        </w:rPr>
      </w:pPr>
      <w:r>
        <w:rPr>
          <w:i/>
        </w:rPr>
        <w:t>De 3.001 a 6.000 €</w:t>
      </w:r>
      <w:r>
        <w:rPr>
          <w:i/>
        </w:rPr>
        <w:tab/>
        <w:t>30,00 €</w:t>
      </w:r>
    </w:p>
    <w:p w:rsidR="00E464B0" w:rsidRDefault="00E464B0" w:rsidP="00E464B0">
      <w:pPr>
        <w:spacing w:after="120"/>
        <w:rPr>
          <w:i/>
        </w:rPr>
      </w:pPr>
      <w:r>
        <w:rPr>
          <w:i/>
        </w:rPr>
        <w:t>Calcular el efectivo que ingresará el banco al comerciante.</w:t>
      </w:r>
    </w:p>
    <w:tbl>
      <w:tblPr>
        <w:tblW w:w="1122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90"/>
        <w:gridCol w:w="880"/>
        <w:gridCol w:w="990"/>
        <w:gridCol w:w="550"/>
        <w:gridCol w:w="990"/>
        <w:gridCol w:w="550"/>
        <w:gridCol w:w="1210"/>
        <w:gridCol w:w="770"/>
        <w:gridCol w:w="880"/>
        <w:gridCol w:w="770"/>
        <w:gridCol w:w="990"/>
        <w:gridCol w:w="770"/>
      </w:tblGrid>
      <w:tr w:rsidR="00E464B0" w:rsidTr="00E464B0">
        <w:trPr>
          <w:trHeight w:val="5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Librado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Plaza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Nominal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Fecha vto.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Días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N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os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comer.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Tipo dto.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Descuento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Porct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Comis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Importe Comisión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Correo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Comis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. Timbrado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B0" w:rsidRDefault="00E464B0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Timbre</w:t>
            </w:r>
          </w:p>
        </w:tc>
      </w:tr>
      <w:tr w:rsidR="00E464B0" w:rsidTr="00E464B0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464B0" w:rsidTr="00E464B0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464B0" w:rsidTr="00E464B0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464B0" w:rsidTr="00E464B0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464B0" w:rsidTr="00E464B0">
        <w:trPr>
          <w:trHeight w:val="3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B0" w:rsidRDefault="00E464B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1F7BC0" w:rsidRDefault="001F7BC0" w:rsidP="001F7BC0">
      <w:pPr>
        <w:spacing w:line="240" w:lineRule="auto"/>
      </w:pPr>
      <w:r w:rsidRPr="001F7BC0">
        <w:rPr>
          <w:b/>
        </w:rPr>
        <w:t>Tarea</w:t>
      </w:r>
      <w:r w:rsidR="00EB1E2C">
        <w:rPr>
          <w:b/>
        </w:rPr>
        <w:t>s</w:t>
      </w:r>
      <w:r>
        <w:t>:</w:t>
      </w:r>
    </w:p>
    <w:p w:rsidR="001F7BC0" w:rsidRDefault="00C30316" w:rsidP="00C30316">
      <w:pPr>
        <w:pStyle w:val="Prrafodelista"/>
        <w:numPr>
          <w:ilvl w:val="0"/>
          <w:numId w:val="17"/>
        </w:numPr>
        <w:spacing w:line="240" w:lineRule="auto"/>
        <w:jc w:val="both"/>
      </w:pPr>
      <w:r>
        <w:t>Confeccionar los grupos. Cada uno de vosotros debéis asumir vuestro rol</w:t>
      </w:r>
      <w:r w:rsidR="001F7BC0">
        <w:t>.</w:t>
      </w:r>
    </w:p>
    <w:p w:rsidR="001F7BC0" w:rsidRDefault="00C30316" w:rsidP="0038410B">
      <w:pPr>
        <w:pStyle w:val="Prrafodelista"/>
        <w:numPr>
          <w:ilvl w:val="0"/>
          <w:numId w:val="17"/>
        </w:numPr>
        <w:spacing w:line="240" w:lineRule="auto"/>
        <w:jc w:val="both"/>
      </w:pPr>
      <w:r>
        <w:t>Sigue atentamente las indicaciones del profesor.</w:t>
      </w:r>
    </w:p>
    <w:p w:rsidR="00C30316" w:rsidRDefault="00C30316" w:rsidP="0038410B">
      <w:pPr>
        <w:pStyle w:val="Prrafodelista"/>
        <w:numPr>
          <w:ilvl w:val="0"/>
          <w:numId w:val="17"/>
        </w:numPr>
        <w:spacing w:line="240" w:lineRule="auto"/>
        <w:jc w:val="both"/>
      </w:pPr>
      <w:r>
        <w:t>Cumplimenta la tabla y realiza los cálculos</w:t>
      </w:r>
    </w:p>
    <w:p w:rsidR="00540B8E" w:rsidRDefault="00C30316" w:rsidP="0038410B">
      <w:pPr>
        <w:pStyle w:val="Prrafodelista"/>
        <w:numPr>
          <w:ilvl w:val="0"/>
          <w:numId w:val="17"/>
        </w:numPr>
        <w:spacing w:line="240" w:lineRule="auto"/>
        <w:jc w:val="both"/>
      </w:pPr>
      <w:r>
        <w:t xml:space="preserve">Cumplimenta la factura de negociación. </w:t>
      </w:r>
    </w:p>
    <w:p w:rsidR="001F7BC0" w:rsidRPr="00EB1E2C" w:rsidRDefault="00EB1E2C" w:rsidP="001F7BC0">
      <w:pPr>
        <w:spacing w:line="240" w:lineRule="auto"/>
        <w:rPr>
          <w:b/>
        </w:rPr>
      </w:pPr>
      <w:r w:rsidRPr="00EB1E2C">
        <w:rPr>
          <w:b/>
        </w:rPr>
        <w:t>Recursos:</w:t>
      </w:r>
    </w:p>
    <w:p w:rsidR="00C30316" w:rsidRDefault="00EB1E2C" w:rsidP="00C30316">
      <w:pPr>
        <w:spacing w:line="240" w:lineRule="auto"/>
      </w:pPr>
      <w:r>
        <w:t>Necesitarás un portáti</w:t>
      </w:r>
      <w:r w:rsidR="00C30316">
        <w:t xml:space="preserve">l por grupo. </w:t>
      </w:r>
      <w:r>
        <w:t xml:space="preserve"> </w:t>
      </w:r>
      <w:r w:rsidR="00C30316">
        <w:t xml:space="preserve">Deberéis en el primer ejercicio ir deduciendo las operaciones que se realizan en Excel para las podáis utilizar como plantilla en el segundo. </w:t>
      </w:r>
    </w:p>
    <w:p w:rsidR="00EB1E2C" w:rsidRPr="00EB1E2C" w:rsidRDefault="00C30316" w:rsidP="00EB1E2C">
      <w:pPr>
        <w:spacing w:line="240" w:lineRule="auto"/>
        <w:rPr>
          <w:b/>
        </w:rPr>
      </w:pPr>
      <w:r>
        <w:rPr>
          <w:b/>
        </w:rPr>
        <w:t>Temporalización</w:t>
      </w:r>
      <w:r w:rsidR="00EB1E2C" w:rsidRPr="00EB1E2C">
        <w:rPr>
          <w:b/>
        </w:rPr>
        <w:t>:</w:t>
      </w:r>
    </w:p>
    <w:p w:rsidR="00EB1E2C" w:rsidRDefault="00EB1E2C" w:rsidP="00EB1E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Dispones de 2 clases para realizar la tarea. </w:t>
      </w:r>
    </w:p>
    <w:p w:rsidR="00EB1E2C" w:rsidRDefault="00EB1E2C" w:rsidP="00EB1E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¡Bien, manos a la obra! </w:t>
      </w:r>
    </w:p>
    <w:p w:rsidR="00423D70" w:rsidRDefault="008B453B" w:rsidP="00EB1E2C">
      <w:pPr>
        <w:spacing w:line="240" w:lineRule="auto"/>
      </w:pPr>
      <w:r>
        <w:t>Revisa</w:t>
      </w:r>
      <w:r w:rsidR="00EB1E2C">
        <w:t xml:space="preserve"> con calma la razón de ser de cada  operación  para que sean operaciones de ¡calidad! </w:t>
      </w:r>
    </w:p>
    <w:p w:rsidR="00EB1E2C" w:rsidRDefault="00EB1E2C" w:rsidP="00EB1E2C">
      <w:pPr>
        <w:spacing w:line="240" w:lineRule="auto"/>
        <w:rPr>
          <w:b/>
        </w:rPr>
      </w:pPr>
      <w:r w:rsidRPr="00EB1E2C">
        <w:rPr>
          <w:b/>
        </w:rPr>
        <w:t>Evaluación de los aprendizajes:</w:t>
      </w:r>
    </w:p>
    <w:p w:rsidR="00EB1E2C" w:rsidRDefault="00EB1E2C" w:rsidP="00EB1E2C">
      <w:pPr>
        <w:spacing w:line="240" w:lineRule="auto"/>
      </w:pPr>
      <w:r w:rsidRPr="00EB1E2C">
        <w:t xml:space="preserve">Se confeccionará una rúbrica para poder evaluar el trabajo en equipo mediante </w:t>
      </w:r>
      <w:proofErr w:type="spellStart"/>
      <w:r w:rsidRPr="00EB1E2C">
        <w:t>coevaluación</w:t>
      </w:r>
      <w:proofErr w:type="spellEnd"/>
      <w:r w:rsidRPr="00EB1E2C">
        <w:t xml:space="preserve"> de todos sus integrantes. Los criterios de evaluación estarán a disposición del alumno en la web del profesor. </w:t>
      </w:r>
    </w:p>
    <w:sectPr w:rsidR="00EB1E2C" w:rsidSect="00590FEC">
      <w:headerReference w:type="default" r:id="rId10"/>
      <w:footerReference w:type="default" r:id="rId11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6B" w:rsidRDefault="00AE356B" w:rsidP="00053E82">
      <w:pPr>
        <w:spacing w:after="0" w:line="240" w:lineRule="auto"/>
      </w:pPr>
      <w:r>
        <w:separator/>
      </w:r>
    </w:p>
  </w:endnote>
  <w:endnote w:type="continuationSeparator" w:id="0">
    <w:p w:rsidR="00AE356B" w:rsidRDefault="00AE356B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F" w:rsidRDefault="00C43B4F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2026C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6B" w:rsidRDefault="00AE356B" w:rsidP="00053E82">
      <w:pPr>
        <w:spacing w:after="0" w:line="240" w:lineRule="auto"/>
      </w:pPr>
      <w:r>
        <w:separator/>
      </w:r>
    </w:p>
  </w:footnote>
  <w:footnote w:type="continuationSeparator" w:id="0">
    <w:p w:rsidR="00AE356B" w:rsidRDefault="00AE356B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F" w:rsidRDefault="00C43B4F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6E6B2D" wp14:editId="531253AB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C43B4F" w:rsidTr="00590FEC">
      <w:tc>
        <w:tcPr>
          <w:tcW w:w="992" w:type="dxa"/>
          <w:tcBorders>
            <w:top w:val="nil"/>
            <w:lef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C43B4F" w:rsidRDefault="00C43B4F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C43B4F" w:rsidRDefault="00C43B4F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C43B4F" w:rsidTr="00065A97">
      <w:tc>
        <w:tcPr>
          <w:tcW w:w="992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C43B4F" w:rsidRPr="00590FEC" w:rsidRDefault="002026C3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C43B4F" w:rsidRDefault="00C43B4F" w:rsidP="00D1524C">
          <w:pPr>
            <w:tabs>
              <w:tab w:val="left" w:pos="2187"/>
              <w:tab w:val="center" w:pos="301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  <w:t>TÍTULO DE LA UNIDAD</w:t>
          </w:r>
        </w:p>
        <w:p w:rsidR="00C43B4F" w:rsidRDefault="00C43B4F" w:rsidP="00507A6B">
          <w:pPr>
            <w:jc w:val="center"/>
            <w:rPr>
              <w:b/>
              <w:sz w:val="36"/>
              <w:szCs w:val="36"/>
            </w:rPr>
          </w:pPr>
          <w:r>
            <w:t>EL DESCUENTO COMERCIAL SIMPLE</w:t>
          </w:r>
        </w:p>
      </w:tc>
      <w:tc>
        <w:tcPr>
          <w:tcW w:w="709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C43B4F" w:rsidRPr="00507A6B" w:rsidRDefault="00C43B4F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C43B4F" w:rsidRPr="00507A6B" w:rsidRDefault="00C43B4F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C43B4F" w:rsidTr="00507A6B">
      <w:tc>
        <w:tcPr>
          <w:tcW w:w="992" w:type="dxa"/>
          <w:vMerge/>
        </w:tcPr>
        <w:p w:rsidR="00C43B4F" w:rsidRDefault="00C43B4F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C43B4F" w:rsidRDefault="00C43B4F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C43B4F" w:rsidRDefault="00C43B4F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C43B4F" w:rsidRPr="00FE5D8C" w:rsidRDefault="00C43B4F" w:rsidP="00507A6B">
          <w:pPr>
            <w:rPr>
              <w:sz w:val="16"/>
              <w:szCs w:val="16"/>
            </w:rPr>
          </w:pPr>
        </w:p>
      </w:tc>
    </w:tr>
  </w:tbl>
  <w:p w:rsidR="00C43B4F" w:rsidRDefault="00C43B4F" w:rsidP="00D152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92B89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1F9B"/>
    <w:multiLevelType w:val="multilevel"/>
    <w:tmpl w:val="C0B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A64"/>
    <w:multiLevelType w:val="hybridMultilevel"/>
    <w:tmpl w:val="39EEC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726E6"/>
    <w:multiLevelType w:val="hybridMultilevel"/>
    <w:tmpl w:val="E9BEE0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546154"/>
    <w:multiLevelType w:val="hybridMultilevel"/>
    <w:tmpl w:val="991406DC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8F3"/>
    <w:multiLevelType w:val="multilevel"/>
    <w:tmpl w:val="7AD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18"/>
  </w:num>
  <w:num w:numId="6">
    <w:abstractNumId w:val="22"/>
  </w:num>
  <w:num w:numId="7">
    <w:abstractNumId w:val="17"/>
  </w:num>
  <w:num w:numId="8">
    <w:abstractNumId w:val="5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0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 w:numId="19">
    <w:abstractNumId w:val="9"/>
  </w:num>
  <w:num w:numId="20">
    <w:abstractNumId w:val="16"/>
  </w:num>
  <w:num w:numId="21">
    <w:abstractNumId w:val="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A601C"/>
    <w:rsid w:val="000C1619"/>
    <w:rsid w:val="000D462D"/>
    <w:rsid w:val="000F2F2B"/>
    <w:rsid w:val="000F3282"/>
    <w:rsid w:val="00100415"/>
    <w:rsid w:val="00101320"/>
    <w:rsid w:val="00121833"/>
    <w:rsid w:val="001266DC"/>
    <w:rsid w:val="0018114C"/>
    <w:rsid w:val="001815F0"/>
    <w:rsid w:val="0019685B"/>
    <w:rsid w:val="001A18C6"/>
    <w:rsid w:val="001A582D"/>
    <w:rsid w:val="001B4D5F"/>
    <w:rsid w:val="001C6535"/>
    <w:rsid w:val="001D64FB"/>
    <w:rsid w:val="001F7BC0"/>
    <w:rsid w:val="00201C52"/>
    <w:rsid w:val="002026C3"/>
    <w:rsid w:val="00221AC8"/>
    <w:rsid w:val="0024472D"/>
    <w:rsid w:val="00246668"/>
    <w:rsid w:val="002531CE"/>
    <w:rsid w:val="00266138"/>
    <w:rsid w:val="00272047"/>
    <w:rsid w:val="00277C02"/>
    <w:rsid w:val="00280C73"/>
    <w:rsid w:val="0028140F"/>
    <w:rsid w:val="0029010B"/>
    <w:rsid w:val="00292A0E"/>
    <w:rsid w:val="002A5CC9"/>
    <w:rsid w:val="002B4DFA"/>
    <w:rsid w:val="002C1107"/>
    <w:rsid w:val="002C515D"/>
    <w:rsid w:val="002D3056"/>
    <w:rsid w:val="002E21CC"/>
    <w:rsid w:val="002F0A23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7599C"/>
    <w:rsid w:val="00382182"/>
    <w:rsid w:val="003822D3"/>
    <w:rsid w:val="00383528"/>
    <w:rsid w:val="0038410B"/>
    <w:rsid w:val="00384921"/>
    <w:rsid w:val="003869E6"/>
    <w:rsid w:val="003A4D14"/>
    <w:rsid w:val="003C721E"/>
    <w:rsid w:val="003D218E"/>
    <w:rsid w:val="003F05F5"/>
    <w:rsid w:val="003F6CAC"/>
    <w:rsid w:val="00401F8C"/>
    <w:rsid w:val="00403154"/>
    <w:rsid w:val="00410FF4"/>
    <w:rsid w:val="0041480A"/>
    <w:rsid w:val="00414BDA"/>
    <w:rsid w:val="0042046F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30077"/>
    <w:rsid w:val="00540B8E"/>
    <w:rsid w:val="00545E34"/>
    <w:rsid w:val="0055026B"/>
    <w:rsid w:val="00552DAF"/>
    <w:rsid w:val="0055682A"/>
    <w:rsid w:val="00556D6C"/>
    <w:rsid w:val="0056019F"/>
    <w:rsid w:val="0057101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C7B4A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62E9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B15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E6CA3"/>
    <w:rsid w:val="007F2404"/>
    <w:rsid w:val="008159A9"/>
    <w:rsid w:val="008241E0"/>
    <w:rsid w:val="00832411"/>
    <w:rsid w:val="008470E0"/>
    <w:rsid w:val="00847B72"/>
    <w:rsid w:val="00862A64"/>
    <w:rsid w:val="0087069F"/>
    <w:rsid w:val="00880628"/>
    <w:rsid w:val="0089781A"/>
    <w:rsid w:val="008A34B6"/>
    <w:rsid w:val="008A48A0"/>
    <w:rsid w:val="008B453B"/>
    <w:rsid w:val="008C1300"/>
    <w:rsid w:val="008C3200"/>
    <w:rsid w:val="008C5444"/>
    <w:rsid w:val="008E16F0"/>
    <w:rsid w:val="008E7CCC"/>
    <w:rsid w:val="0092443A"/>
    <w:rsid w:val="009373AE"/>
    <w:rsid w:val="009425C0"/>
    <w:rsid w:val="009452F9"/>
    <w:rsid w:val="00945D08"/>
    <w:rsid w:val="00947E06"/>
    <w:rsid w:val="00972FD9"/>
    <w:rsid w:val="009A5B89"/>
    <w:rsid w:val="009B386F"/>
    <w:rsid w:val="009B4AA4"/>
    <w:rsid w:val="009C15B2"/>
    <w:rsid w:val="009C1E13"/>
    <w:rsid w:val="009C3590"/>
    <w:rsid w:val="009C5292"/>
    <w:rsid w:val="009D3B4B"/>
    <w:rsid w:val="009D44C5"/>
    <w:rsid w:val="009E3047"/>
    <w:rsid w:val="009E7B97"/>
    <w:rsid w:val="009F2D96"/>
    <w:rsid w:val="009F55CA"/>
    <w:rsid w:val="00A0329B"/>
    <w:rsid w:val="00A32288"/>
    <w:rsid w:val="00A55B9B"/>
    <w:rsid w:val="00A71AC3"/>
    <w:rsid w:val="00A76A97"/>
    <w:rsid w:val="00A81EEE"/>
    <w:rsid w:val="00AA2EC1"/>
    <w:rsid w:val="00AB1099"/>
    <w:rsid w:val="00AE356B"/>
    <w:rsid w:val="00AE3ED4"/>
    <w:rsid w:val="00B07A8D"/>
    <w:rsid w:val="00B201F4"/>
    <w:rsid w:val="00B23F10"/>
    <w:rsid w:val="00B33CCA"/>
    <w:rsid w:val="00B61E15"/>
    <w:rsid w:val="00B70CF0"/>
    <w:rsid w:val="00B769BE"/>
    <w:rsid w:val="00B8164E"/>
    <w:rsid w:val="00B83AD2"/>
    <w:rsid w:val="00BA6AB8"/>
    <w:rsid w:val="00BB5B29"/>
    <w:rsid w:val="00BC2BDB"/>
    <w:rsid w:val="00BC5206"/>
    <w:rsid w:val="00BE7B2F"/>
    <w:rsid w:val="00BF5EAC"/>
    <w:rsid w:val="00C03CB9"/>
    <w:rsid w:val="00C076D7"/>
    <w:rsid w:val="00C13EF5"/>
    <w:rsid w:val="00C24425"/>
    <w:rsid w:val="00C30316"/>
    <w:rsid w:val="00C31A65"/>
    <w:rsid w:val="00C42A25"/>
    <w:rsid w:val="00C43B4F"/>
    <w:rsid w:val="00C43C4E"/>
    <w:rsid w:val="00C602AA"/>
    <w:rsid w:val="00C61AF3"/>
    <w:rsid w:val="00C64C86"/>
    <w:rsid w:val="00C74999"/>
    <w:rsid w:val="00C869AA"/>
    <w:rsid w:val="00C95093"/>
    <w:rsid w:val="00CA2676"/>
    <w:rsid w:val="00CA5D8A"/>
    <w:rsid w:val="00CA6C40"/>
    <w:rsid w:val="00CB298F"/>
    <w:rsid w:val="00CB4D61"/>
    <w:rsid w:val="00CC4CFB"/>
    <w:rsid w:val="00CD6862"/>
    <w:rsid w:val="00CE4DC8"/>
    <w:rsid w:val="00CE577E"/>
    <w:rsid w:val="00CE5A35"/>
    <w:rsid w:val="00CF3E4F"/>
    <w:rsid w:val="00CF50BC"/>
    <w:rsid w:val="00D028E0"/>
    <w:rsid w:val="00D1524C"/>
    <w:rsid w:val="00D2753A"/>
    <w:rsid w:val="00D41519"/>
    <w:rsid w:val="00D448D9"/>
    <w:rsid w:val="00D86CDE"/>
    <w:rsid w:val="00D90A41"/>
    <w:rsid w:val="00DA5212"/>
    <w:rsid w:val="00DC1546"/>
    <w:rsid w:val="00DC2A63"/>
    <w:rsid w:val="00DD3483"/>
    <w:rsid w:val="00DD4ABC"/>
    <w:rsid w:val="00DD72FA"/>
    <w:rsid w:val="00DD7399"/>
    <w:rsid w:val="00DE3938"/>
    <w:rsid w:val="00DF7AFD"/>
    <w:rsid w:val="00E034EC"/>
    <w:rsid w:val="00E0708B"/>
    <w:rsid w:val="00E255A5"/>
    <w:rsid w:val="00E255C4"/>
    <w:rsid w:val="00E32A9C"/>
    <w:rsid w:val="00E35F54"/>
    <w:rsid w:val="00E464B0"/>
    <w:rsid w:val="00E47989"/>
    <w:rsid w:val="00E62842"/>
    <w:rsid w:val="00E65303"/>
    <w:rsid w:val="00E67A45"/>
    <w:rsid w:val="00E8162C"/>
    <w:rsid w:val="00E879E3"/>
    <w:rsid w:val="00E944E6"/>
    <w:rsid w:val="00EA55A8"/>
    <w:rsid w:val="00EB1E2C"/>
    <w:rsid w:val="00EB7982"/>
    <w:rsid w:val="00ED6DA4"/>
    <w:rsid w:val="00EE0A9C"/>
    <w:rsid w:val="00EF20AE"/>
    <w:rsid w:val="00EF5123"/>
    <w:rsid w:val="00F02747"/>
    <w:rsid w:val="00F0685A"/>
    <w:rsid w:val="00F11271"/>
    <w:rsid w:val="00F15E4E"/>
    <w:rsid w:val="00F16077"/>
    <w:rsid w:val="00F230AB"/>
    <w:rsid w:val="00F4404A"/>
    <w:rsid w:val="00F676D0"/>
    <w:rsid w:val="00F764EB"/>
    <w:rsid w:val="00F823C1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F29C-0695-4272-BAA3-D9EBE2F1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651</cp:revision>
  <cp:lastPrinted>2017-01-25T19:31:00Z</cp:lastPrinted>
  <dcterms:created xsi:type="dcterms:W3CDTF">2016-11-29T11:32:00Z</dcterms:created>
  <dcterms:modified xsi:type="dcterms:W3CDTF">2017-01-30T19:32:00Z</dcterms:modified>
</cp:coreProperties>
</file>