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6"/>
        <w:tblW w:w="9637" w:type="dxa"/>
        <w:shd w:val="clear" w:color="auto" w:fill="FFFF00"/>
        <w:tblLook w:val="04A0" w:firstRow="1" w:lastRow="0" w:firstColumn="1" w:lastColumn="0" w:noHBand="0" w:noVBand="1"/>
      </w:tblPr>
      <w:tblGrid>
        <w:gridCol w:w="9637"/>
      </w:tblGrid>
      <w:tr w:rsidR="00676431" w:rsidTr="00676431">
        <w:tc>
          <w:tcPr>
            <w:tcW w:w="9637" w:type="dxa"/>
            <w:shd w:val="clear" w:color="auto" w:fill="FFFF00"/>
          </w:tcPr>
          <w:p w:rsidR="00676431" w:rsidRDefault="00676431" w:rsidP="00676431">
            <w:pPr>
              <w:jc w:val="center"/>
            </w:pPr>
            <w:r>
              <w:t>GUÍAS DE DESEMPEÑO</w:t>
            </w:r>
          </w:p>
        </w:tc>
      </w:tr>
    </w:tbl>
    <w:p w:rsidR="00742C3D" w:rsidRPr="00676431" w:rsidRDefault="00742C3D" w:rsidP="00571013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28"/>
        <w:gridCol w:w="7486"/>
      </w:tblGrid>
      <w:tr w:rsidR="00742C3D" w:rsidTr="001F7BC0">
        <w:trPr>
          <w:trHeight w:val="547"/>
        </w:trPr>
        <w:tc>
          <w:tcPr>
            <w:tcW w:w="1728" w:type="dxa"/>
            <w:vAlign w:val="center"/>
          </w:tcPr>
          <w:p w:rsidR="00742C3D" w:rsidRPr="00742C3D" w:rsidRDefault="00742C3D" w:rsidP="00742C3D">
            <w:pPr>
              <w:jc w:val="center"/>
              <w:rPr>
                <w:b/>
              </w:rPr>
            </w:pPr>
            <w:r w:rsidRPr="00742C3D">
              <w:rPr>
                <w:b/>
              </w:rPr>
              <w:t>GUÍA Nº 1</w:t>
            </w:r>
          </w:p>
        </w:tc>
        <w:tc>
          <w:tcPr>
            <w:tcW w:w="7486" w:type="dxa"/>
            <w:vAlign w:val="center"/>
          </w:tcPr>
          <w:p w:rsidR="00742C3D" w:rsidRPr="00742C3D" w:rsidRDefault="001F7BC0" w:rsidP="00742C3D">
            <w:pPr>
              <w:jc w:val="center"/>
              <w:rPr>
                <w:b/>
              </w:rPr>
            </w:pPr>
            <w:r>
              <w:rPr>
                <w:b/>
              </w:rPr>
              <w:t>Liquidación de Cuentas Corrientes y de Crédito</w:t>
            </w:r>
          </w:p>
        </w:tc>
      </w:tr>
    </w:tbl>
    <w:p w:rsidR="00423D70" w:rsidRDefault="001F7BC0" w:rsidP="001F7BC0">
      <w:pPr>
        <w:spacing w:line="240" w:lineRule="auto"/>
      </w:pPr>
      <w:r>
        <w:t>Estimados alumnos:</w:t>
      </w:r>
    </w:p>
    <w:p w:rsidR="001F7BC0" w:rsidRDefault="001F7BC0" w:rsidP="006D3CFC">
      <w:pPr>
        <w:spacing w:line="240" w:lineRule="auto"/>
        <w:jc w:val="both"/>
      </w:pPr>
      <w:r>
        <w:t xml:space="preserve">Ha llegado el momento de </w:t>
      </w:r>
      <w:r w:rsidRPr="001F7BC0">
        <w:rPr>
          <w:u w:val="single"/>
        </w:rPr>
        <w:t xml:space="preserve">dominar  la cuenta corriente del banco o </w:t>
      </w:r>
      <w:r w:rsidR="00EB1E2C">
        <w:rPr>
          <w:u w:val="single"/>
        </w:rPr>
        <w:t xml:space="preserve">que </w:t>
      </w:r>
      <w:r w:rsidRPr="001F7BC0">
        <w:rPr>
          <w:u w:val="single"/>
        </w:rPr>
        <w:t>ella me domina a mí</w:t>
      </w:r>
      <w:r>
        <w:t>. ¿Te acuerdas del tópico de la unidad</w:t>
      </w:r>
      <w:proofErr w:type="gramStart"/>
      <w:r>
        <w:t>?.</w:t>
      </w:r>
      <w:proofErr w:type="gramEnd"/>
      <w:r>
        <w:t xml:space="preserve"> </w:t>
      </w:r>
      <w:r w:rsidR="00791CA1">
        <w:t xml:space="preserve"> </w:t>
      </w:r>
      <w:r>
        <w:t>Intentaremos, con ayuda del profesor, los compañeros, videos y herramientas informáticas que salgas vencedor de este pulso que nos proponen nuestras finanzas.</w:t>
      </w:r>
    </w:p>
    <w:p w:rsidR="001F7BC0" w:rsidRDefault="001F7BC0" w:rsidP="001F7BC0">
      <w:pPr>
        <w:spacing w:line="240" w:lineRule="auto"/>
      </w:pPr>
      <w:r w:rsidRPr="001F7BC0">
        <w:rPr>
          <w:b/>
        </w:rPr>
        <w:t>Propósito</w:t>
      </w:r>
      <w:r>
        <w:t>: Liquidar cuentas corrientes y de crédito. Metas 1 a 4.</w:t>
      </w:r>
    </w:p>
    <w:p w:rsidR="00F11271" w:rsidRDefault="00F11271" w:rsidP="00F11271">
      <w:pPr>
        <w:spacing w:line="240" w:lineRule="auto"/>
        <w:rPr>
          <w:b/>
        </w:rPr>
      </w:pPr>
      <w:r w:rsidRPr="0089781A">
        <w:rPr>
          <w:b/>
        </w:rPr>
        <w:t xml:space="preserve">Agrupamiento: </w:t>
      </w:r>
      <w:r w:rsidRPr="00F11271">
        <w:t>Grupo</w:t>
      </w:r>
      <w:r w:rsidRPr="0089781A">
        <w:t xml:space="preserve"> de aprendizaje cooperativo</w:t>
      </w:r>
      <w:r>
        <w:t xml:space="preserve">. El profesor formará dos grupos 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 xml:space="preserve">Un compañero irá tomando nota manualmente en una hoja de la liquidación, incluyendo de forma específica los cálculos necesarios para obtener intereses y comisiones. Esta hoja servirá de apuntes para el grupo. 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>Otro compañero irá completando la hoja de cálculo de Excel en un portátil.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>Un tercer compañero realizará los cálculos con la calculadora</w:t>
      </w:r>
    </w:p>
    <w:p w:rsidR="00F11271" w:rsidRDefault="00F11271" w:rsidP="00F11271">
      <w:pPr>
        <w:pStyle w:val="Prrafodelista"/>
        <w:numPr>
          <w:ilvl w:val="0"/>
          <w:numId w:val="9"/>
        </w:numPr>
        <w:spacing w:line="240" w:lineRule="auto"/>
        <w:jc w:val="both"/>
      </w:pPr>
      <w:r>
        <w:t>Un cuarto compañero irá dirigiendo al grupo sobre lo que hay que hacer en cada momento.</w:t>
      </w:r>
    </w:p>
    <w:p w:rsidR="002E21CC" w:rsidRDefault="002E21CC" w:rsidP="001F7BC0">
      <w:pPr>
        <w:spacing w:line="240" w:lineRule="auto"/>
        <w:rPr>
          <w:b/>
        </w:rPr>
      </w:pPr>
      <w:r>
        <w:rPr>
          <w:b/>
        </w:rPr>
        <w:t>Enunciado:</w:t>
      </w:r>
    </w:p>
    <w:p w:rsidR="002E21CC" w:rsidRDefault="00717908" w:rsidP="001F7BC0">
      <w:pPr>
        <w:spacing w:line="240" w:lineRule="auto"/>
      </w:pPr>
      <w:r w:rsidRPr="00717908">
        <w:t xml:space="preserve">La empresa </w:t>
      </w:r>
      <w:r>
        <w:t>PROMOMAX tiene contratada una cuenta corriente  con el  BANCO DE LEÓN y ha realizado los siguientes movimientos durante el último trimestre del año. Efectúa la liquidación (utilizando las fórmulas y a través de una hoja de cálculo) con los datos que se proporcionan a continuación:</w:t>
      </w:r>
    </w:p>
    <w:p w:rsidR="00717908" w:rsidRDefault="008E16F0" w:rsidP="008E16F0">
      <w:pPr>
        <w:spacing w:line="240" w:lineRule="auto"/>
        <w:jc w:val="center"/>
      </w:pPr>
      <w:r>
        <w:rPr>
          <w:noProof/>
          <w:lang w:eastAsia="es-ES"/>
        </w:rPr>
        <w:drawing>
          <wp:inline distT="0" distB="0" distL="0" distR="0" wp14:anchorId="30DC5410" wp14:editId="03A08538">
            <wp:extent cx="5391150" cy="288617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450" r="49552" b="30514"/>
                    <a:stretch/>
                  </pic:blipFill>
                  <pic:spPr bwMode="auto">
                    <a:xfrm>
                      <a:off x="0" y="0"/>
                      <a:ext cx="5410728" cy="289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6F0" w:rsidRDefault="008E16F0" w:rsidP="008E16F0">
      <w:pPr>
        <w:spacing w:line="240" w:lineRule="auto"/>
        <w:jc w:val="both"/>
      </w:pPr>
      <w:r>
        <w:t>Utiliza para los cálculos la plantilla en Excel que tienes a tu disposición en la web del profesor. El saldo final  te tiene que dar 205,83 €.</w:t>
      </w:r>
    </w:p>
    <w:p w:rsidR="008E16F0" w:rsidRDefault="008E16F0" w:rsidP="008E16F0">
      <w:pPr>
        <w:spacing w:line="240" w:lineRule="auto"/>
        <w:jc w:val="both"/>
      </w:pPr>
      <w:r>
        <w:t>Además tiene contratada también con el BANCO DE LEÓN una cuenta de crédito. Efectúa la liquidación (utilizando las fórmulas y a través de una hoja de cálculo) con los datos que se proporcionan a continuación:</w:t>
      </w:r>
    </w:p>
    <w:p w:rsidR="008E16F0" w:rsidRDefault="008E16F0" w:rsidP="008E16F0">
      <w:pPr>
        <w:spacing w:line="240" w:lineRule="auto"/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120A6422" wp14:editId="6113499A">
            <wp:extent cx="5203485" cy="2495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0846" r="50061" b="36556"/>
                    <a:stretch/>
                  </pic:blipFill>
                  <pic:spPr bwMode="auto">
                    <a:xfrm>
                      <a:off x="0" y="0"/>
                      <a:ext cx="5207679" cy="2497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10B" w:rsidRDefault="0038410B" w:rsidP="008E16F0">
      <w:pPr>
        <w:spacing w:line="240" w:lineRule="auto"/>
        <w:jc w:val="both"/>
      </w:pPr>
    </w:p>
    <w:p w:rsidR="008E16F0" w:rsidRDefault="008E16F0" w:rsidP="008E16F0">
      <w:pPr>
        <w:spacing w:line="240" w:lineRule="auto"/>
        <w:jc w:val="both"/>
      </w:pPr>
      <w:r>
        <w:t>Utiliza para los cálculos la plantilla en Excel que tienes a tu disposición en la web del profesor. El saldo final  te tiene que d</w:t>
      </w:r>
      <w:r w:rsidR="00EB1E2C">
        <w:t>ar 1358,11</w:t>
      </w:r>
      <w:r>
        <w:t xml:space="preserve"> €.</w:t>
      </w:r>
    </w:p>
    <w:p w:rsidR="001F7BC0" w:rsidRDefault="001F7BC0" w:rsidP="001F7BC0">
      <w:pPr>
        <w:spacing w:line="240" w:lineRule="auto"/>
      </w:pPr>
      <w:r w:rsidRPr="001F7BC0">
        <w:rPr>
          <w:b/>
        </w:rPr>
        <w:t>Tarea</w:t>
      </w:r>
      <w:r w:rsidR="00EB1E2C">
        <w:rPr>
          <w:b/>
        </w:rPr>
        <w:t>s</w:t>
      </w:r>
      <w:r>
        <w:t>:</w:t>
      </w:r>
    </w:p>
    <w:p w:rsidR="001F7BC0" w:rsidRDefault="001F7BC0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 xml:space="preserve">Visualizado de los videos en los que se liquida una cuenta corrientes y una de crédito </w:t>
      </w:r>
      <w:r w:rsidR="00540B8E">
        <w:t>en la que el profesor realiza comentarios a las partes más importantes. Presta</w:t>
      </w:r>
      <w:r>
        <w:t xml:space="preserve"> especial atención a las funciones de Excel que emplea el profesor para resolverlas.</w:t>
      </w:r>
    </w:p>
    <w:p w:rsidR="001F7BC0" w:rsidRDefault="00540B8E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 xml:space="preserve">Se forman dos equipos en clase. El equipo “Corriente” liquidará una cuenta Corriente y el equipo “Crédito una de crédito”. </w:t>
      </w:r>
    </w:p>
    <w:p w:rsidR="00540B8E" w:rsidRDefault="00540B8E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>¿Se podría mejorar la hoja de cálculo para que fuera más automática?</w:t>
      </w:r>
    </w:p>
    <w:p w:rsidR="00540B8E" w:rsidRDefault="00540B8E" w:rsidP="0038410B">
      <w:pPr>
        <w:pStyle w:val="Prrafodelista"/>
        <w:numPr>
          <w:ilvl w:val="0"/>
          <w:numId w:val="17"/>
        </w:numPr>
        <w:spacing w:line="240" w:lineRule="auto"/>
        <w:jc w:val="both"/>
      </w:pPr>
      <w:r>
        <w:t>Cambio de roles. El equipo “Corriente” pasa a denominarse “Crédito” y viceversa</w:t>
      </w:r>
      <w:r w:rsidR="000A5256">
        <w:t xml:space="preserve">. Se comienza en la tarea 1 de nuevo. </w:t>
      </w:r>
    </w:p>
    <w:p w:rsidR="001F7BC0" w:rsidRPr="00EB1E2C" w:rsidRDefault="00EB1E2C" w:rsidP="001F7BC0">
      <w:pPr>
        <w:spacing w:line="240" w:lineRule="auto"/>
        <w:rPr>
          <w:b/>
        </w:rPr>
      </w:pPr>
      <w:r w:rsidRPr="00EB1E2C">
        <w:rPr>
          <w:b/>
        </w:rPr>
        <w:t>Recursos:</w:t>
      </w:r>
    </w:p>
    <w:p w:rsidR="00F11271" w:rsidRDefault="00F11271" w:rsidP="001F7BC0">
      <w:pPr>
        <w:spacing w:line="240" w:lineRule="auto"/>
      </w:pPr>
      <w:r>
        <w:t>Utilización de los modelos de Excel para resolver cuentas corrientes y de crédito para que cada equipo resuelva el enunciado que le corresponda.</w:t>
      </w:r>
    </w:p>
    <w:p w:rsidR="001F7BC0" w:rsidRDefault="00EB1E2C" w:rsidP="001F7BC0">
      <w:pPr>
        <w:spacing w:line="240" w:lineRule="auto"/>
      </w:pPr>
      <w:r>
        <w:t xml:space="preserve">Necesitarás un portátil por grupo, conexión a internet para bajar la plantilla de Excel (el profesor tendrá un fichero en pen-drive), una calculadora y un poco de motivación para asumir el reto. </w:t>
      </w:r>
    </w:p>
    <w:p w:rsidR="00EB1E2C" w:rsidRPr="00EB1E2C" w:rsidRDefault="00EB1E2C" w:rsidP="00EB1E2C">
      <w:pPr>
        <w:spacing w:line="240" w:lineRule="auto"/>
        <w:rPr>
          <w:b/>
        </w:rPr>
      </w:pPr>
      <w:r>
        <w:rPr>
          <w:b/>
        </w:rPr>
        <w:t>Duración</w:t>
      </w:r>
      <w:r w:rsidRPr="00EB1E2C">
        <w:rPr>
          <w:b/>
        </w:rPr>
        <w:t>:</w:t>
      </w:r>
    </w:p>
    <w:p w:rsidR="00EB1E2C" w:rsidRDefault="00EB1E2C" w:rsidP="00EB1E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Dispones de 2 clases para realizar la tarea. </w:t>
      </w:r>
    </w:p>
    <w:p w:rsidR="00EB1E2C" w:rsidRDefault="00EB1E2C" w:rsidP="00EB1E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¡Bien, manos a la obra! </w:t>
      </w:r>
    </w:p>
    <w:p w:rsidR="00423D70" w:rsidRDefault="008B453B" w:rsidP="00EB1E2C">
      <w:pPr>
        <w:spacing w:line="240" w:lineRule="auto"/>
      </w:pPr>
      <w:r>
        <w:t>Revisa</w:t>
      </w:r>
      <w:r w:rsidR="00EB1E2C">
        <w:t xml:space="preserve"> con calma la razón de ser de cada  operación  para que sean operaciones de ¡calidad! </w:t>
      </w:r>
    </w:p>
    <w:p w:rsidR="00EB1E2C" w:rsidRDefault="00EB1E2C" w:rsidP="00EB1E2C">
      <w:pPr>
        <w:spacing w:line="240" w:lineRule="auto"/>
        <w:rPr>
          <w:b/>
        </w:rPr>
      </w:pPr>
      <w:r w:rsidRPr="00EB1E2C">
        <w:rPr>
          <w:b/>
        </w:rPr>
        <w:t>Evaluación de los aprendizajes:</w:t>
      </w:r>
    </w:p>
    <w:p w:rsidR="00EB1E2C" w:rsidRDefault="00EB1E2C" w:rsidP="00EB1E2C">
      <w:pPr>
        <w:spacing w:line="240" w:lineRule="auto"/>
      </w:pPr>
      <w:r w:rsidRPr="00EB1E2C">
        <w:t xml:space="preserve">Se confeccionará una rúbrica para poder evaluar el trabajo en equipo mediante coevaluación de todos sus integrantes. Los criterios de evaluación estarán a disposición del alumno en la web del profesor. </w:t>
      </w:r>
    </w:p>
    <w:p w:rsidR="0038410B" w:rsidRDefault="0038410B" w:rsidP="00EB1E2C">
      <w:pPr>
        <w:spacing w:line="240" w:lineRule="auto"/>
      </w:pPr>
    </w:p>
    <w:p w:rsidR="0038410B" w:rsidRDefault="0038410B" w:rsidP="00EB1E2C">
      <w:pPr>
        <w:spacing w:line="240" w:lineRule="auto"/>
      </w:pPr>
      <w:bookmarkStart w:id="0" w:name="_GoBack"/>
      <w:bookmarkEnd w:id="0"/>
    </w:p>
    <w:sectPr w:rsidR="0038410B" w:rsidSect="00590FEC">
      <w:headerReference w:type="default" r:id="rId11"/>
      <w:footerReference w:type="default" r:id="rId12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E" w:rsidRDefault="00297CBE" w:rsidP="00053E82">
      <w:pPr>
        <w:spacing w:after="0" w:line="240" w:lineRule="auto"/>
      </w:pPr>
      <w:r>
        <w:separator/>
      </w:r>
    </w:p>
  </w:endnote>
  <w:endnote w:type="continuationSeparator" w:id="0">
    <w:p w:rsidR="00297CBE" w:rsidRDefault="00297CBE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173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E" w:rsidRDefault="00297CBE" w:rsidP="00053E82">
      <w:pPr>
        <w:spacing w:after="0" w:line="240" w:lineRule="auto"/>
      </w:pPr>
      <w:r>
        <w:separator/>
      </w:r>
    </w:p>
  </w:footnote>
  <w:footnote w:type="continuationSeparator" w:id="0">
    <w:p w:rsidR="00297CBE" w:rsidRDefault="00297CBE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3BA70F" wp14:editId="3E84BEF8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100415"/>
    <w:rsid w:val="00101320"/>
    <w:rsid w:val="00104D2A"/>
    <w:rsid w:val="00121833"/>
    <w:rsid w:val="001266DC"/>
    <w:rsid w:val="001739F2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4472D"/>
    <w:rsid w:val="00246668"/>
    <w:rsid w:val="00266138"/>
    <w:rsid w:val="00277C02"/>
    <w:rsid w:val="00280C73"/>
    <w:rsid w:val="0028140F"/>
    <w:rsid w:val="0029010B"/>
    <w:rsid w:val="00297CBE"/>
    <w:rsid w:val="002A5CC9"/>
    <w:rsid w:val="002B4DFA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159A9"/>
    <w:rsid w:val="008241E0"/>
    <w:rsid w:val="00832411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B1099"/>
    <w:rsid w:val="00AE3ED4"/>
    <w:rsid w:val="00B201F4"/>
    <w:rsid w:val="00B23F10"/>
    <w:rsid w:val="00B33CCA"/>
    <w:rsid w:val="00B61E15"/>
    <w:rsid w:val="00B70CF0"/>
    <w:rsid w:val="00B769BE"/>
    <w:rsid w:val="00B8164E"/>
    <w:rsid w:val="00B83AD2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399"/>
    <w:rsid w:val="00DE3938"/>
    <w:rsid w:val="00DF7AFD"/>
    <w:rsid w:val="00E034EC"/>
    <w:rsid w:val="00E0708B"/>
    <w:rsid w:val="00E255A5"/>
    <w:rsid w:val="00E33162"/>
    <w:rsid w:val="00E35F54"/>
    <w:rsid w:val="00E47989"/>
    <w:rsid w:val="00E62842"/>
    <w:rsid w:val="00E67A45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6077"/>
    <w:rsid w:val="00F230AB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827C-C7D4-443C-865A-1021FD14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586</cp:revision>
  <cp:lastPrinted>2017-01-12T19:42:00Z</cp:lastPrinted>
  <dcterms:created xsi:type="dcterms:W3CDTF">2016-11-29T11:32:00Z</dcterms:created>
  <dcterms:modified xsi:type="dcterms:W3CDTF">2017-12-26T17:52:00Z</dcterms:modified>
</cp:coreProperties>
</file>