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F5" w:rsidRPr="0078271E" w:rsidRDefault="0078271E">
      <w:pPr>
        <w:rPr>
          <w:b/>
        </w:rPr>
      </w:pPr>
      <w:r w:rsidRPr="0078271E">
        <w:rPr>
          <w:b/>
        </w:rPr>
        <w:t>TIPO IMPOSITIVOS</w:t>
      </w:r>
    </w:p>
    <w:tbl>
      <w:tblPr>
        <w:tblpPr w:leftFromText="141" w:rightFromText="141" w:vertAnchor="page" w:horzAnchor="margin" w:tblpXSpec="center" w:tblpY="261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1257"/>
        <w:gridCol w:w="1737"/>
        <w:gridCol w:w="1125"/>
      </w:tblGrid>
      <w:tr w:rsidR="0078271E" w:rsidRPr="00032F29" w:rsidTr="00C234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ase liquidable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Tipo Estatal</w:t>
            </w:r>
          </w:p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aplicable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Tipo autonómico</w:t>
            </w:r>
          </w:p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*aplicable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Tipo Total</w:t>
            </w:r>
          </w:p>
        </w:tc>
      </w:tr>
      <w:tr w:rsidR="0078271E" w:rsidRPr="00032F29" w:rsidTr="00C234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271E" w:rsidRPr="00032F29" w:rsidTr="00C234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Porcentaje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Porcentaje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Porcentaje</w:t>
            </w:r>
          </w:p>
        </w:tc>
      </w:tr>
      <w:tr w:rsidR="0078271E" w:rsidRPr="00032F29" w:rsidTr="00C234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Hasta               12.450,00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19,00</w:t>
            </w:r>
          </w:p>
        </w:tc>
      </w:tr>
      <w:tr w:rsidR="0078271E" w:rsidRPr="00032F29" w:rsidTr="00C234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siguientes  7.750,00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24,00</w:t>
            </w:r>
          </w:p>
        </w:tc>
      </w:tr>
      <w:tr w:rsidR="0078271E" w:rsidRPr="00032F29" w:rsidTr="00C234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siguientes 15.000,00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30,00</w:t>
            </w:r>
          </w:p>
        </w:tc>
      </w:tr>
      <w:tr w:rsidR="0078271E" w:rsidRPr="00032F29" w:rsidTr="00C234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siguientes 24.800,00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37,00</w:t>
            </w:r>
          </w:p>
        </w:tc>
      </w:tr>
      <w:tr w:rsidR="0078271E" w:rsidRPr="00032F29" w:rsidTr="00C234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adelante</w:t>
            </w:r>
          </w:p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(a partir de 60.000 euros)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E" w:rsidRPr="00032F29" w:rsidRDefault="0078271E" w:rsidP="0078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45,00</w:t>
            </w:r>
          </w:p>
        </w:tc>
      </w:tr>
    </w:tbl>
    <w:p w:rsidR="0078271E" w:rsidRDefault="0078271E">
      <w:r>
        <w:t>Base imponible General y del Ahorro</w:t>
      </w:r>
    </w:p>
    <w:p w:rsidR="0078271E" w:rsidRDefault="0078271E"/>
    <w:p w:rsidR="0078271E" w:rsidRDefault="0078271E"/>
    <w:p w:rsidR="0078271E" w:rsidRDefault="0078271E"/>
    <w:p w:rsidR="0078271E" w:rsidRDefault="0078271E"/>
    <w:p w:rsidR="0078271E" w:rsidRDefault="0078271E"/>
    <w:p w:rsidR="0078271E" w:rsidRDefault="0078271E"/>
    <w:p w:rsidR="0078271E" w:rsidRDefault="0078271E"/>
    <w:p w:rsidR="0078271E" w:rsidRDefault="0078271E"/>
    <w:tbl>
      <w:tblPr>
        <w:tblpPr w:leftFromText="141" w:rightFromText="141" w:vertAnchor="text" w:horzAnchor="margin" w:tblpXSpec="center" w:tblpY="717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ño 2016 (a declarar en 2017) Importes del mínimo personal y familiar vigentes en Castilla y León&#10;"/>
      </w:tblPr>
      <w:tblGrid>
        <w:gridCol w:w="2181"/>
        <w:gridCol w:w="1257"/>
        <w:gridCol w:w="1737"/>
        <w:gridCol w:w="1236"/>
      </w:tblGrid>
      <w:tr w:rsidR="00C234A4" w:rsidRPr="00032F29" w:rsidTr="00C234A4">
        <w:trPr>
          <w:tblCellSpacing w:w="15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Base liquidable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Tipo Estatal</w:t>
            </w:r>
          </w:p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aplicable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Tipo autonómico</w:t>
            </w:r>
          </w:p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aplicable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Tipo Total</w:t>
            </w:r>
          </w:p>
        </w:tc>
      </w:tr>
      <w:tr w:rsidR="00C234A4" w:rsidRPr="00032F29" w:rsidTr="00C234A4">
        <w:trPr>
          <w:tblCellSpacing w:w="15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Porcentaje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Porcentaje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Porcentaje</w:t>
            </w:r>
          </w:p>
        </w:tc>
      </w:tr>
      <w:tr w:rsidR="00C234A4" w:rsidRPr="00032F29" w:rsidTr="00C234A4">
        <w:trPr>
          <w:tblCellSpacing w:w="15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Hasta          </w:t>
            </w: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6.000,00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9,50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19,00</w:t>
            </w:r>
          </w:p>
        </w:tc>
      </w:tr>
      <w:tr w:rsidR="00C234A4" w:rsidRPr="00032F29" w:rsidTr="00C234A4">
        <w:trPr>
          <w:tblCellSpacing w:w="15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siguientes  44.000,00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10,50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21,00</w:t>
            </w:r>
          </w:p>
        </w:tc>
      </w:tr>
      <w:tr w:rsidR="00C234A4" w:rsidRPr="00032F29" w:rsidTr="00C234A4">
        <w:trPr>
          <w:tblCellSpacing w:w="15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adelante(a partir de 50.000 euros)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11,50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A4" w:rsidRPr="00032F29" w:rsidRDefault="00C234A4" w:rsidP="00C2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2F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23,00</w:t>
            </w:r>
          </w:p>
        </w:tc>
      </w:tr>
    </w:tbl>
    <w:p w:rsidR="0078271E" w:rsidRDefault="0078271E"/>
    <w:p w:rsidR="0078271E" w:rsidRDefault="0078271E"/>
    <w:p w:rsidR="0078271E" w:rsidRDefault="0078271E"/>
    <w:p w:rsidR="0078271E" w:rsidRDefault="0078271E"/>
    <w:p w:rsidR="0078271E" w:rsidRDefault="0078271E"/>
    <w:p w:rsidR="00C234A4" w:rsidRDefault="00C234A4"/>
    <w:p w:rsidR="00C234A4" w:rsidRDefault="00C234A4"/>
    <w:p w:rsidR="00C234A4" w:rsidRDefault="00C234A4"/>
    <w:tbl>
      <w:tblPr>
        <w:tblpPr w:leftFromText="141" w:rightFromText="141" w:vertAnchor="text" w:horzAnchor="page" w:tblpX="2551" w:tblpY="15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ño 2016 (a declarar en 2017) Escala autonómica vigente en Castilla y León&#10;"/>
      </w:tblPr>
      <w:tblGrid>
        <w:gridCol w:w="2768"/>
        <w:gridCol w:w="2000"/>
        <w:gridCol w:w="2091"/>
        <w:gridCol w:w="1231"/>
      </w:tblGrid>
      <w:tr w:rsidR="00C234A4" w:rsidRPr="000228C6" w:rsidTr="00C234A4">
        <w:trPr>
          <w:tblCellSpacing w:w="15" w:type="dxa"/>
        </w:trPr>
        <w:tc>
          <w:tcPr>
            <w:tcW w:w="8030" w:type="dxa"/>
            <w:gridSpan w:val="4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Comunidad Autónoma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Base liquidable Hasta euros</w:t>
            </w:r>
          </w:p>
        </w:tc>
        <w:tc>
          <w:tcPr>
            <w:tcW w:w="0" w:type="auto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Cuota íntegra Euros</w:t>
            </w:r>
          </w:p>
        </w:tc>
        <w:tc>
          <w:tcPr>
            <w:tcW w:w="2061" w:type="dxa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Resto base liquidable Hasta euros</w:t>
            </w:r>
          </w:p>
        </w:tc>
        <w:tc>
          <w:tcPr>
            <w:tcW w:w="1186" w:type="dxa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Tipo aplicable Porcentaje 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061" w:type="dxa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12.450,00</w:t>
            </w:r>
          </w:p>
        </w:tc>
        <w:tc>
          <w:tcPr>
            <w:tcW w:w="1186" w:type="dxa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9,5 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12.450,00</w:t>
            </w:r>
          </w:p>
        </w:tc>
        <w:tc>
          <w:tcPr>
            <w:tcW w:w="0" w:type="auto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1.182,75</w:t>
            </w:r>
          </w:p>
        </w:tc>
        <w:tc>
          <w:tcPr>
            <w:tcW w:w="2061" w:type="dxa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7.750,00</w:t>
            </w:r>
          </w:p>
        </w:tc>
        <w:tc>
          <w:tcPr>
            <w:tcW w:w="1186" w:type="dxa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 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20.200,00</w:t>
            </w:r>
          </w:p>
        </w:tc>
        <w:tc>
          <w:tcPr>
            <w:tcW w:w="0" w:type="auto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2.112,75</w:t>
            </w:r>
          </w:p>
        </w:tc>
        <w:tc>
          <w:tcPr>
            <w:tcW w:w="2061" w:type="dxa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15.000,00</w:t>
            </w:r>
          </w:p>
        </w:tc>
        <w:tc>
          <w:tcPr>
            <w:tcW w:w="1186" w:type="dxa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14 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35.200,00</w:t>
            </w:r>
          </w:p>
        </w:tc>
        <w:tc>
          <w:tcPr>
            <w:tcW w:w="0" w:type="auto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4.212,75</w:t>
            </w:r>
          </w:p>
        </w:tc>
        <w:tc>
          <w:tcPr>
            <w:tcW w:w="2061" w:type="dxa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18.207,20</w:t>
            </w:r>
          </w:p>
        </w:tc>
        <w:tc>
          <w:tcPr>
            <w:tcW w:w="1186" w:type="dxa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18,5 </w:t>
            </w:r>
          </w:p>
        </w:tc>
      </w:tr>
      <w:tr w:rsidR="00C234A4" w:rsidRPr="000228C6" w:rsidTr="00C234A4">
        <w:trPr>
          <w:trHeight w:val="367"/>
          <w:tblCellSpacing w:w="15" w:type="dxa"/>
        </w:trPr>
        <w:tc>
          <w:tcPr>
            <w:tcW w:w="0" w:type="auto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53.407,20</w:t>
            </w:r>
          </w:p>
        </w:tc>
        <w:tc>
          <w:tcPr>
            <w:tcW w:w="0" w:type="auto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7.581,08</w:t>
            </w:r>
          </w:p>
        </w:tc>
        <w:tc>
          <w:tcPr>
            <w:tcW w:w="2061" w:type="dxa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adelante</w:t>
            </w:r>
          </w:p>
        </w:tc>
        <w:tc>
          <w:tcPr>
            <w:tcW w:w="1186" w:type="dxa"/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21,5</w:t>
            </w:r>
          </w:p>
        </w:tc>
      </w:tr>
    </w:tbl>
    <w:p w:rsidR="00C234A4" w:rsidRDefault="00C234A4"/>
    <w:p w:rsidR="00C234A4" w:rsidRDefault="00C234A4"/>
    <w:p w:rsidR="0078271E" w:rsidRDefault="0078271E"/>
    <w:p w:rsidR="0078271E" w:rsidRDefault="0078271E"/>
    <w:p w:rsidR="0078271E" w:rsidRDefault="0078271E"/>
    <w:p w:rsidR="0078271E" w:rsidRDefault="0078271E"/>
    <w:p w:rsidR="0078271E" w:rsidRDefault="0078271E"/>
    <w:p w:rsidR="0078271E" w:rsidRDefault="0078271E"/>
    <w:p w:rsidR="0078271E" w:rsidRDefault="0078271E"/>
    <w:p w:rsidR="00B77255" w:rsidRDefault="00B77255"/>
    <w:p w:rsidR="00B77255" w:rsidRDefault="00B77255"/>
    <w:p w:rsidR="00B77255" w:rsidRDefault="00B77255"/>
    <w:p w:rsidR="0078271E" w:rsidRDefault="00C234A4" w:rsidP="00C234A4">
      <w:pPr>
        <w:jc w:val="both"/>
      </w:pPr>
      <w:proofErr w:type="spellStart"/>
      <w:r>
        <w:lastRenderedPageBreak/>
        <w:t>Míminos</w:t>
      </w:r>
      <w:proofErr w:type="spellEnd"/>
    </w:p>
    <w:tbl>
      <w:tblPr>
        <w:tblpPr w:leftFromText="141" w:rightFromText="141" w:vertAnchor="text" w:horzAnchor="margin" w:tblpXSpec="center" w:tblpY="16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2105"/>
        <w:gridCol w:w="1295"/>
      </w:tblGrid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Mínimo del contribuyente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5.550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ind w:left="-1275" w:firstLine="1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Más de 65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6.700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Más de 75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6.950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Descendientes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Primer hijo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2.400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Segundo hijo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2.700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Tercer hijo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4.000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Cuarto hijo y siguientes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4.500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Menores de 3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2.800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Ascendientes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Mayores de 56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1.150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Mayores de 75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2.550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Discapacidad contribuyente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Menos del 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3.000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Menos del 65%+</w:t>
            </w:r>
            <w:proofErr w:type="spellStart"/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mov.reducida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6.000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65% o más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12.000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Discapacidad ascendientes/descendientes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Menos del 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3.000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Menos del 65%+</w:t>
            </w:r>
            <w:proofErr w:type="spellStart"/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mov.reducida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6.000 EUR</w:t>
            </w:r>
          </w:p>
        </w:tc>
      </w:tr>
      <w:tr w:rsidR="00C234A4" w:rsidRPr="000228C6" w:rsidTr="00C234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65% o más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4" w:rsidRPr="000228C6" w:rsidRDefault="00C234A4" w:rsidP="00C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8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12.000 EUR</w:t>
            </w:r>
          </w:p>
        </w:tc>
      </w:tr>
    </w:tbl>
    <w:p w:rsidR="0078271E" w:rsidRDefault="0078271E"/>
    <w:p w:rsidR="0078271E" w:rsidRDefault="0078271E"/>
    <w:p w:rsidR="0078271E" w:rsidRDefault="0078271E"/>
    <w:p w:rsidR="0078271E" w:rsidRDefault="0078271E"/>
    <w:p w:rsidR="0078271E" w:rsidRDefault="0078271E"/>
    <w:p w:rsidR="0078271E" w:rsidRDefault="0078271E"/>
    <w:p w:rsidR="0078271E" w:rsidRDefault="0078271E"/>
    <w:p w:rsidR="0078271E" w:rsidRDefault="0078271E"/>
    <w:p w:rsidR="00C234A4" w:rsidRDefault="00C234A4"/>
    <w:p w:rsidR="00C234A4" w:rsidRDefault="00C234A4"/>
    <w:p w:rsidR="00C234A4" w:rsidRDefault="00C234A4"/>
    <w:p w:rsidR="00C234A4" w:rsidRDefault="00C234A4"/>
    <w:p w:rsidR="00C234A4" w:rsidRDefault="00C234A4"/>
    <w:p w:rsidR="00B77255" w:rsidRDefault="00B77255" w:rsidP="00B77255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C</w:t>
      </w:r>
      <w:r>
        <w:rPr>
          <w:rFonts w:ascii="Arial" w:eastAsia="Arial" w:hAnsi="Arial"/>
        </w:rPr>
        <w:t>onceptos excluidos en la base de cotización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20"/>
        <w:gridCol w:w="900"/>
        <w:gridCol w:w="300"/>
        <w:gridCol w:w="1180"/>
        <w:gridCol w:w="2580"/>
        <w:gridCol w:w="880"/>
        <w:gridCol w:w="880"/>
      </w:tblGrid>
      <w:tr w:rsidR="00B77255" w:rsidRPr="00994A19" w:rsidTr="003A2BFF">
        <w:trPr>
          <w:trHeight w:val="115"/>
        </w:trPr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5" w:lineRule="exact"/>
              <w:ind w:right="349"/>
              <w:jc w:val="center"/>
              <w:rPr>
                <w:rFonts w:ascii="Times New Roman" w:eastAsia="Arial" w:hAnsi="Times New Roman" w:cs="Times New Roman"/>
                <w:b/>
                <w:w w:val="99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b/>
                <w:w w:val="99"/>
                <w:sz w:val="10"/>
                <w:szCs w:val="20"/>
                <w:lang w:eastAsia="es-ES"/>
              </w:rPr>
              <w:t>Concepto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5" w:lineRule="exact"/>
              <w:jc w:val="center"/>
              <w:rPr>
                <w:rFonts w:ascii="Times New Roman" w:eastAsia="Arial" w:hAnsi="Times New Roman" w:cs="Times New Roman"/>
                <w:b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b/>
                <w:sz w:val="10"/>
                <w:szCs w:val="20"/>
                <w:lang w:eastAsia="es-ES"/>
              </w:rPr>
              <w:t>Exento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5" w:lineRule="exact"/>
              <w:jc w:val="center"/>
              <w:rPr>
                <w:rFonts w:ascii="Times New Roman" w:eastAsia="Arial" w:hAnsi="Times New Roman" w:cs="Times New Roman"/>
                <w:b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b/>
                <w:sz w:val="10"/>
                <w:szCs w:val="20"/>
                <w:lang w:eastAsia="es-ES"/>
              </w:rPr>
              <w:t>Computable</w:t>
            </w:r>
          </w:p>
        </w:tc>
      </w:tr>
      <w:tr w:rsidR="00B77255" w:rsidRPr="00994A19" w:rsidTr="003A2BFF">
        <w:trPr>
          <w:trHeight w:val="246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s-ES"/>
              </w:rPr>
            </w:pPr>
          </w:p>
        </w:tc>
        <w:tc>
          <w:tcPr>
            <w:tcW w:w="3760" w:type="dxa"/>
            <w:gridSpan w:val="2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115" w:lineRule="exact"/>
              <w:ind w:right="2091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Gastos de estancia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5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justificado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7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10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110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Gastos de</w:t>
            </w:r>
          </w:p>
        </w:tc>
        <w:tc>
          <w:tcPr>
            <w:tcW w:w="92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00" w:type="dxa"/>
            <w:vMerge w:val="restart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115" w:lineRule="exact"/>
              <w:ind w:left="209"/>
              <w:jc w:val="center"/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  <w:t>Pernocta</w:t>
            </w:r>
          </w:p>
        </w:tc>
        <w:tc>
          <w:tcPr>
            <w:tcW w:w="30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110" w:lineRule="exact"/>
              <w:ind w:right="1151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En España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0" w:lineRule="exact"/>
              <w:jc w:val="center"/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  <w:t>53,34 €/día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5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El exceso de tales</w:t>
            </w:r>
          </w:p>
        </w:tc>
      </w:tr>
      <w:tr w:rsidR="00B77255" w:rsidRPr="00994A19" w:rsidTr="003A2BFF">
        <w:trPr>
          <w:trHeight w:val="43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111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manutención y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  <w:tc>
          <w:tcPr>
            <w:tcW w:w="900" w:type="dxa"/>
            <w:vMerge/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111" w:lineRule="exact"/>
              <w:ind w:right="1151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Extranjero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4" w:lineRule="exact"/>
              <w:jc w:val="center"/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  <w:t>91,35 €/día</w:t>
            </w: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72"/>
        </w:trPr>
        <w:tc>
          <w:tcPr>
            <w:tcW w:w="860" w:type="dxa"/>
            <w:vMerge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5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cantidades</w:t>
            </w:r>
          </w:p>
        </w:tc>
      </w:tr>
      <w:tr w:rsidR="00B77255" w:rsidRPr="00994A19" w:rsidTr="003A2BFF">
        <w:trPr>
          <w:trHeight w:val="41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111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estancia (dietas)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111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Gastos de</w:t>
            </w:r>
          </w:p>
        </w:tc>
        <w:tc>
          <w:tcPr>
            <w:tcW w:w="900" w:type="dxa"/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111" w:lineRule="exact"/>
              <w:ind w:right="1151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En España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2" w:lineRule="exact"/>
              <w:jc w:val="center"/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  <w:t>26,67 €/día</w:t>
            </w: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73"/>
        </w:trPr>
        <w:tc>
          <w:tcPr>
            <w:tcW w:w="860" w:type="dxa"/>
            <w:vMerge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vMerge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55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111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manutención</w:t>
            </w:r>
          </w:p>
        </w:tc>
        <w:tc>
          <w:tcPr>
            <w:tcW w:w="90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115" w:lineRule="exact"/>
              <w:ind w:left="209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No pernocta</w:t>
            </w:r>
          </w:p>
        </w:tc>
        <w:tc>
          <w:tcPr>
            <w:tcW w:w="30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111" w:lineRule="exact"/>
              <w:ind w:right="1151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Extranjero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2" w:lineRule="exact"/>
              <w:jc w:val="center"/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  <w:t>48,08 €/día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71"/>
        </w:trPr>
        <w:tc>
          <w:tcPr>
            <w:tcW w:w="860" w:type="dxa"/>
            <w:tcBorders>
              <w:top w:val="single" w:sz="8" w:space="0" w:color="C2F4F6"/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single" w:sz="8" w:space="0" w:color="FFF0C1"/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top w:val="single" w:sz="8" w:space="0" w:color="FFF0C1"/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single" w:sz="8" w:space="0" w:color="FFF0C1"/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FFF0C1"/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115" w:lineRule="exact"/>
              <w:ind w:left="180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Personal de vuelo</w:t>
            </w:r>
          </w:p>
        </w:tc>
        <w:tc>
          <w:tcPr>
            <w:tcW w:w="2580" w:type="dxa"/>
            <w:tcBorders>
              <w:top w:val="single" w:sz="8" w:space="0" w:color="FFF0C1"/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71" w:lineRule="exact"/>
              <w:ind w:left="20"/>
              <w:rPr>
                <w:rFonts w:ascii="Times New Roman" w:eastAsia="Arial" w:hAnsi="Times New Roman" w:cs="Times New Roman"/>
                <w:sz w:val="8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8"/>
                <w:szCs w:val="20"/>
                <w:lang w:eastAsia="es-ES"/>
              </w:rPr>
              <w:t>En España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71" w:lineRule="exact"/>
              <w:jc w:val="center"/>
              <w:rPr>
                <w:rFonts w:ascii="Times New Roman" w:eastAsia="Arial" w:hAnsi="Times New Roman" w:cs="Times New Roman"/>
                <w:sz w:val="8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8"/>
                <w:szCs w:val="20"/>
                <w:lang w:eastAsia="es-ES"/>
              </w:rPr>
              <w:t>36,06 €/día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4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114" w:lineRule="exact"/>
              <w:ind w:left="20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Extranjero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4" w:lineRule="exact"/>
              <w:jc w:val="center"/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  <w:t>66,11 €/día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7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12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49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115" w:lineRule="exact"/>
              <w:ind w:right="891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Según factura o documento equivalente (transporte público)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2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Importe gasto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w w:val="73"/>
                <w:sz w:val="8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73"/>
                <w:sz w:val="8"/>
                <w:szCs w:val="20"/>
                <w:lang w:eastAsia="es-ES"/>
              </w:rPr>
              <w:t>-</w:t>
            </w:r>
          </w:p>
        </w:tc>
      </w:tr>
      <w:tr w:rsidR="00B77255" w:rsidRPr="00994A19" w:rsidTr="003A2BFF">
        <w:trPr>
          <w:trHeight w:val="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4960" w:type="dxa"/>
            <w:gridSpan w:val="4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5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justificado</w:t>
            </w: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73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12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115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Gastos de</w:t>
            </w:r>
          </w:p>
        </w:tc>
        <w:tc>
          <w:tcPr>
            <w:tcW w:w="9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2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0,19 €/Km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63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5" w:lineRule="exact"/>
              <w:jc w:val="center"/>
              <w:rPr>
                <w:rFonts w:ascii="Times New Roman" w:eastAsia="Arial" w:hAnsi="Times New Roman" w:cs="Times New Roman"/>
                <w:w w:val="98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8"/>
                <w:sz w:val="10"/>
                <w:szCs w:val="20"/>
                <w:lang w:eastAsia="es-ES"/>
              </w:rPr>
              <w:t>recorrido más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71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115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locomoción</w:t>
            </w:r>
          </w:p>
        </w:tc>
        <w:tc>
          <w:tcPr>
            <w:tcW w:w="9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5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El exceso de</w:t>
            </w:r>
          </w:p>
        </w:tc>
      </w:tr>
      <w:tr w:rsidR="00B77255" w:rsidRPr="00994A19" w:rsidTr="003A2BFF">
        <w:trPr>
          <w:trHeight w:val="63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40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ind w:right="1791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Remuneración global (sin justificación importe)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gastos de peaje y</w:t>
            </w: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7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4060" w:type="dxa"/>
            <w:gridSpan w:val="3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dicho importe</w:t>
            </w:r>
          </w:p>
        </w:tc>
      </w:tr>
      <w:tr w:rsidR="00B77255" w:rsidRPr="00994A19" w:rsidTr="003A2BFF">
        <w:trPr>
          <w:trHeight w:val="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aparcamiento</w:t>
            </w: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7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6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justificados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14"/>
        </w:trPr>
        <w:tc>
          <w:tcPr>
            <w:tcW w:w="86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111" w:lineRule="exact"/>
              <w:ind w:right="1731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Pluses de transporte urbano y distancia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w w:val="73"/>
                <w:sz w:val="8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2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Importe</w:t>
            </w:r>
          </w:p>
        </w:tc>
      </w:tr>
      <w:tr w:rsidR="00B77255" w:rsidRPr="00994A19" w:rsidTr="003A2BFF">
        <w:trPr>
          <w:trHeight w:val="114"/>
        </w:trPr>
        <w:tc>
          <w:tcPr>
            <w:tcW w:w="67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111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Quebranto de moneda, desgaste útiles y herramientas, adquisición y mantenimiento ropa trabajo (gastos efectivamente realizados)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w w:val="73"/>
                <w:sz w:val="8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2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Importe</w:t>
            </w:r>
          </w:p>
        </w:tc>
      </w:tr>
      <w:tr w:rsidR="00B77255" w:rsidRPr="00994A19" w:rsidTr="003A2BFF">
        <w:trPr>
          <w:trHeight w:val="112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2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Lo que exceda de</w:t>
            </w: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49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ind w:right="1731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Indemnizaciones por fallecimiento, traslados y suspensiones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Importe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lo previsto en</w:t>
            </w:r>
          </w:p>
        </w:tc>
      </w:tr>
      <w:tr w:rsidR="00B77255" w:rsidRPr="00994A19" w:rsidTr="003A2BFF">
        <w:trPr>
          <w:trHeight w:val="63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4960" w:type="dxa"/>
            <w:gridSpan w:val="4"/>
            <w:vMerge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norma sectorial o</w:t>
            </w:r>
          </w:p>
        </w:tc>
      </w:tr>
      <w:tr w:rsidR="00B77255" w:rsidRPr="00994A19" w:rsidTr="003A2BFF">
        <w:trPr>
          <w:trHeight w:val="71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6"/>
        </w:trPr>
        <w:tc>
          <w:tcPr>
            <w:tcW w:w="86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  <w:t>convenio aplicable</w:t>
            </w:r>
          </w:p>
        </w:tc>
      </w:tr>
      <w:tr w:rsidR="00B77255" w:rsidRPr="00994A19" w:rsidTr="003A2BFF">
        <w:trPr>
          <w:trHeight w:val="112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2" w:lineRule="exact"/>
              <w:jc w:val="center"/>
              <w:rPr>
                <w:rFonts w:ascii="Times New Roman" w:eastAsia="Arial" w:hAnsi="Times New Roman" w:cs="Times New Roman"/>
                <w:w w:val="94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4"/>
                <w:sz w:val="10"/>
                <w:szCs w:val="20"/>
                <w:lang w:eastAsia="es-ES"/>
              </w:rPr>
              <w:t>Cuantías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establecida en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Estatuto de los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trabajadores o en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la normativa que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w w:val="98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8"/>
                <w:sz w:val="10"/>
                <w:szCs w:val="20"/>
                <w:lang w:eastAsia="es-ES"/>
              </w:rPr>
              <w:t>regula la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ejecución de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Su exceso</w:t>
            </w:r>
          </w:p>
        </w:tc>
      </w:tr>
      <w:tr w:rsidR="00B77255" w:rsidRPr="00994A19" w:rsidTr="003A2BFF">
        <w:trPr>
          <w:trHeight w:val="63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sentencias, sin</w:t>
            </w: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71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w w:val="97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7"/>
                <w:sz w:val="10"/>
                <w:szCs w:val="20"/>
                <w:lang w:eastAsia="es-ES"/>
              </w:rPr>
              <w:t>que pueda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considerarse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ind w:right="1731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Indemnizaciones por despido o cese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como tal la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establecida en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  <w:t>Convenio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6"/>
        </w:trPr>
        <w:tc>
          <w:tcPr>
            <w:tcW w:w="860" w:type="dxa"/>
            <w:tcBorders>
              <w:bottom w:val="single" w:sz="8" w:space="0" w:color="C2F4F6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C2F4F6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bottom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bottom w:val="single" w:sz="8" w:space="0" w:color="C2F4F6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bottom w:val="single" w:sz="8" w:space="0" w:color="C2F4F6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Colectivo (…)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12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2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Los importes que</w:t>
            </w:r>
          </w:p>
        </w:tc>
      </w:tr>
      <w:tr w:rsidR="00B77255" w:rsidRPr="00994A19" w:rsidTr="003A2BFF">
        <w:trPr>
          <w:trHeight w:val="134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Escisión C.T. con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excedan de los</w:t>
            </w:r>
          </w:p>
        </w:tc>
      </w:tr>
      <w:tr w:rsidR="00B77255" w:rsidRPr="00994A19" w:rsidTr="003A2BFF">
        <w:trPr>
          <w:trHeight w:val="63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9"/>
                <w:sz w:val="10"/>
                <w:szCs w:val="20"/>
                <w:lang w:eastAsia="es-ES"/>
              </w:rPr>
              <w:t>que hubieran</w:t>
            </w:r>
          </w:p>
        </w:tc>
      </w:tr>
      <w:tr w:rsidR="00B77255" w:rsidRPr="00994A19" w:rsidTr="003A2BFF">
        <w:trPr>
          <w:trHeight w:val="71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anterioridad al</w:t>
            </w: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63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correspondido de</w:t>
            </w:r>
          </w:p>
        </w:tc>
      </w:tr>
      <w:tr w:rsidR="00B77255" w:rsidRPr="00994A19" w:rsidTr="003A2BFF">
        <w:trPr>
          <w:trHeight w:val="71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acto de</w:t>
            </w: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63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w w:val="98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98"/>
                <w:sz w:val="10"/>
                <w:szCs w:val="20"/>
                <w:lang w:eastAsia="es-ES"/>
              </w:rPr>
              <w:t>haberse declarado</w:t>
            </w:r>
          </w:p>
        </w:tc>
      </w:tr>
      <w:tr w:rsidR="00B77255" w:rsidRPr="00994A19" w:rsidTr="003A2BFF">
        <w:trPr>
          <w:trHeight w:val="71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conciliación</w:t>
            </w: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63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improcedente el</w:t>
            </w:r>
          </w:p>
        </w:tc>
      </w:tr>
      <w:tr w:rsidR="00B77255" w:rsidRPr="00994A19" w:rsidTr="003A2BFF">
        <w:trPr>
          <w:trHeight w:val="71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35"/>
        </w:trPr>
        <w:tc>
          <w:tcPr>
            <w:tcW w:w="86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despido</w:t>
            </w:r>
          </w:p>
        </w:tc>
      </w:tr>
      <w:tr w:rsidR="00B77255" w:rsidRPr="00994A19" w:rsidTr="003A2BFF">
        <w:trPr>
          <w:trHeight w:val="114"/>
        </w:trPr>
        <w:tc>
          <w:tcPr>
            <w:tcW w:w="86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111" w:lineRule="exact"/>
              <w:ind w:right="49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Percepciones por matrimonio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w w:val="73"/>
                <w:sz w:val="8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2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Importe</w:t>
            </w:r>
          </w:p>
        </w:tc>
      </w:tr>
      <w:tr w:rsidR="00B77255" w:rsidRPr="00994A19" w:rsidTr="003A2BFF">
        <w:trPr>
          <w:trHeight w:val="167"/>
        </w:trPr>
        <w:tc>
          <w:tcPr>
            <w:tcW w:w="6740" w:type="dxa"/>
            <w:gridSpan w:val="6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Mejoras de las Prestaciones de la Seguridad Social distintas de la incapacidad temporal (Incluye las contribuciones por planes de pensiones y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w w:val="73"/>
                <w:sz w:val="8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Importe</w:t>
            </w:r>
          </w:p>
        </w:tc>
      </w:tr>
      <w:tr w:rsidR="00B77255" w:rsidRPr="00994A19" w:rsidTr="003A2BFF">
        <w:trPr>
          <w:trHeight w:val="71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ind w:right="49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sistemas alternativos)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63"/>
        </w:trPr>
        <w:tc>
          <w:tcPr>
            <w:tcW w:w="86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900" w:type="dxa"/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75"/>
        </w:trPr>
        <w:tc>
          <w:tcPr>
            <w:tcW w:w="86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es-ES"/>
              </w:rPr>
            </w:pPr>
          </w:p>
        </w:tc>
      </w:tr>
      <w:tr w:rsidR="00B77255" w:rsidRPr="00994A19" w:rsidTr="003A2BFF">
        <w:trPr>
          <w:trHeight w:val="112"/>
        </w:trPr>
        <w:tc>
          <w:tcPr>
            <w:tcW w:w="86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s-ES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C2F4F6"/>
            <w:vAlign w:val="bottom"/>
          </w:tcPr>
          <w:p w:rsidR="00B77255" w:rsidRPr="00994A19" w:rsidRDefault="00B77255" w:rsidP="003A2BFF">
            <w:pPr>
              <w:spacing w:after="0" w:line="111" w:lineRule="exact"/>
              <w:ind w:right="1751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Prestaciones de la Seguridad Social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111" w:lineRule="exact"/>
              <w:jc w:val="center"/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sz w:val="10"/>
                <w:szCs w:val="20"/>
                <w:lang w:eastAsia="es-ES"/>
              </w:rPr>
              <w:t>Importe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994A19" w:rsidRDefault="00B77255" w:rsidP="003A2BF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w w:val="73"/>
                <w:sz w:val="8"/>
                <w:szCs w:val="20"/>
                <w:lang w:eastAsia="es-ES"/>
              </w:rPr>
            </w:pPr>
            <w:r w:rsidRPr="00994A19">
              <w:rPr>
                <w:rFonts w:ascii="Times New Roman" w:eastAsia="Arial" w:hAnsi="Times New Roman" w:cs="Times New Roman"/>
                <w:w w:val="73"/>
                <w:sz w:val="8"/>
                <w:szCs w:val="20"/>
                <w:lang w:eastAsia="es-ES"/>
              </w:rPr>
              <w:t>-</w:t>
            </w:r>
          </w:p>
        </w:tc>
      </w:tr>
    </w:tbl>
    <w:p w:rsidR="00B77255" w:rsidRDefault="00B77255" w:rsidP="00B77255">
      <w:pPr>
        <w:spacing w:line="237" w:lineRule="auto"/>
        <w:rPr>
          <w:rFonts w:ascii="Arial" w:eastAsia="Arial" w:hAnsi="Arial"/>
        </w:rPr>
      </w:pPr>
    </w:p>
    <w:p w:rsidR="00B77255" w:rsidRDefault="00B77255" w:rsidP="00B77255">
      <w:pPr>
        <w:spacing w:line="237" w:lineRule="auto"/>
        <w:rPr>
          <w:rFonts w:ascii="Arial" w:eastAsia="Arial" w:hAnsi="Arial"/>
        </w:rPr>
      </w:pPr>
    </w:p>
    <w:p w:rsidR="00B77255" w:rsidRDefault="00B77255" w:rsidP="00B77255">
      <w:pPr>
        <w:spacing w:line="237" w:lineRule="auto"/>
        <w:rPr>
          <w:rFonts w:ascii="Arial" w:eastAsia="Arial" w:hAnsi="Arial"/>
        </w:rPr>
      </w:pPr>
      <w:bookmarkStart w:id="0" w:name="_GoBack"/>
      <w:bookmarkEnd w:id="0"/>
      <w:r>
        <w:rPr>
          <w:rFonts w:ascii="Arial" w:eastAsia="Arial" w:hAnsi="Arial"/>
        </w:rPr>
        <w:lastRenderedPageBreak/>
        <w:t>Percepciones salariales: Conceptos incluidos en la base de cotización</w:t>
      </w:r>
    </w:p>
    <w:p w:rsidR="00B77255" w:rsidRDefault="00B77255" w:rsidP="00B7725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00"/>
        <w:gridCol w:w="220"/>
        <w:gridCol w:w="1040"/>
        <w:gridCol w:w="160"/>
        <w:gridCol w:w="3760"/>
        <w:gridCol w:w="880"/>
        <w:gridCol w:w="880"/>
      </w:tblGrid>
      <w:tr w:rsidR="00B77255" w:rsidRPr="00F0216F" w:rsidTr="003A2BFF">
        <w:trPr>
          <w:trHeight w:val="116"/>
        </w:trPr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5" w:lineRule="exact"/>
              <w:ind w:right="2929"/>
              <w:jc w:val="center"/>
              <w:rPr>
                <w:rFonts w:ascii="Arial" w:eastAsia="Arial" w:hAnsi="Arial" w:cs="Arial"/>
                <w:b/>
                <w:w w:val="99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b/>
                <w:w w:val="99"/>
                <w:sz w:val="10"/>
                <w:szCs w:val="20"/>
                <w:lang w:eastAsia="es-ES"/>
              </w:rPr>
              <w:t>Concepto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  <w:t>Exento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  <w:t>Computable</w:t>
            </w:r>
          </w:p>
        </w:tc>
      </w:tr>
      <w:tr w:rsidR="00B77255" w:rsidRPr="00F0216F" w:rsidTr="003A2BFF">
        <w:trPr>
          <w:trHeight w:val="114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1" w:lineRule="exact"/>
              <w:ind w:right="192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Gastos estudios exigidos por el trabajo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Importe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</w:tr>
      <w:tr w:rsidR="00B77255" w:rsidRPr="00F0216F" w:rsidTr="003A2BFF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s-ES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Entrega productos a precios rebajados (cantinas, comedores empresa, economatos, fórmulas indirectas, servicio comedor)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 xml:space="preserve">Teniendo dicha </w:t>
            </w:r>
            <w:proofErr w:type="spellStart"/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considerfación</w:t>
            </w:r>
            <w:proofErr w:type="spellEnd"/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 xml:space="preserve"> las fórmulas directas o indirectas de prestación del servicio, admitidas por la legislación laboral,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Importe</w:t>
            </w:r>
          </w:p>
        </w:tc>
      </w:tr>
      <w:tr w:rsidR="00B77255" w:rsidRPr="00F0216F" w:rsidTr="003A2BFF">
        <w:trPr>
          <w:trHeight w:val="7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58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5" w:lineRule="exact"/>
              <w:ind w:right="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en las que concurran los requisitos establecidos en el artículo 45 del Reglamento del impuesto sobre la renta de las personas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5880" w:type="dxa"/>
            <w:gridSpan w:val="5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5" w:lineRule="exact"/>
              <w:ind w:right="2109"/>
              <w:jc w:val="center"/>
              <w:rPr>
                <w:rFonts w:ascii="Arial" w:eastAsia="Arial" w:hAnsi="Arial" w:cs="Arial"/>
                <w:w w:val="98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8"/>
                <w:sz w:val="10"/>
                <w:szCs w:val="20"/>
                <w:lang w:eastAsia="es-ES"/>
              </w:rPr>
              <w:t>físicas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06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49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Asignaciones</w:t>
            </w: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Utilización bienes destinados a servicios sociales y culturales del personal, incluidos los locales debidamente homologados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0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ES"/>
              </w:rPr>
            </w:pPr>
          </w:p>
        </w:tc>
        <w:tc>
          <w:tcPr>
            <w:tcW w:w="58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destinados por el empresario a prestar el primer ciclo de educación infantil a los hijos de sus trabajadores, así como la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Importe</w:t>
            </w:r>
          </w:p>
        </w:tc>
      </w:tr>
      <w:tr w:rsidR="00B77255" w:rsidRPr="00F0216F" w:rsidTr="003A2BFF">
        <w:trPr>
          <w:trHeight w:val="115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asistenciales</w:t>
            </w:r>
          </w:p>
        </w:tc>
        <w:tc>
          <w:tcPr>
            <w:tcW w:w="5880" w:type="dxa"/>
            <w:gridSpan w:val="5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0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ES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5" w:lineRule="exact"/>
              <w:ind w:right="88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contratación de dicho servicio con terceros debidamente autorizados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82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FFF0C1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s-ES"/>
              </w:rPr>
            </w:pPr>
          </w:p>
        </w:tc>
        <w:tc>
          <w:tcPr>
            <w:tcW w:w="4960" w:type="dxa"/>
            <w:gridSpan w:val="3"/>
            <w:vMerge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12"/>
        </w:trPr>
        <w:tc>
          <w:tcPr>
            <w:tcW w:w="860" w:type="dxa"/>
            <w:tcBorders>
              <w:top w:val="single" w:sz="8" w:space="0" w:color="C2F4F6"/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58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1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Entrega gratuita o precio inferior al de mercado de acciones o participaciones de la empresa o empresas del grupo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1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Importe</w:t>
            </w:r>
          </w:p>
        </w:tc>
      </w:tr>
      <w:tr w:rsidR="00B77255" w:rsidRPr="00F0216F" w:rsidTr="003A2BFF">
        <w:trPr>
          <w:trHeight w:val="114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1" w:lineRule="exact"/>
              <w:ind w:right="88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 xml:space="preserve">Primas de contrato de seguro, excepto AT y </w:t>
            </w:r>
            <w:proofErr w:type="spellStart"/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resp</w:t>
            </w:r>
            <w:proofErr w:type="spellEnd"/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. Civil del trabajador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Importe</w:t>
            </w:r>
          </w:p>
        </w:tc>
      </w:tr>
      <w:tr w:rsidR="00B77255" w:rsidRPr="00F0216F" w:rsidTr="003A2BFF">
        <w:trPr>
          <w:trHeight w:val="114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1" w:lineRule="exact"/>
              <w:ind w:right="66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Primas de contrato de seguro para enfermedad común trabajador (más cónyuge y descendiente)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Importe</w:t>
            </w:r>
          </w:p>
        </w:tc>
      </w:tr>
      <w:tr w:rsidR="00B77255" w:rsidRPr="00F0216F" w:rsidTr="003A2BFF">
        <w:trPr>
          <w:trHeight w:val="175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s-ES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La prestación del servicio de educación preescolar infantil, primaria, secundaria, obligatoria, bachillerato y formación profesional,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por centros educativos autorizados a los hijos de sus empleados, con carácter gratuito o por el precio inferior al normal del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5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Importe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5" w:lineRule="exact"/>
              <w:ind w:right="206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mercado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7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24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10% del valor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catastral (5% en el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caso de inmuebles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Con valoración catastral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de municipios con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vMerge w:val="restart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left="69"/>
              <w:jc w:val="center"/>
              <w:rPr>
                <w:rFonts w:ascii="Arial" w:eastAsia="Arial" w:hAnsi="Arial" w:cs="Arial"/>
                <w:w w:val="98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8"/>
                <w:sz w:val="10"/>
                <w:szCs w:val="20"/>
                <w:lang w:eastAsia="es-ES"/>
              </w:rPr>
              <w:t>Propiedad pagador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valores catastrales</w:t>
            </w:r>
          </w:p>
        </w:tc>
      </w:tr>
      <w:tr w:rsidR="00B77255" w:rsidRPr="00F0216F" w:rsidTr="003A2BFF">
        <w:trPr>
          <w:trHeight w:val="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040" w:type="dxa"/>
            <w:vMerge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  <w:t xml:space="preserve">revisados a </w:t>
            </w:r>
            <w:proofErr w:type="spellStart"/>
            <w:r w:rsidRPr="00F0216F"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  <w:t>paertir</w:t>
            </w:r>
            <w:proofErr w:type="spellEnd"/>
          </w:p>
        </w:tc>
      </w:tr>
      <w:tr w:rsidR="00B77255" w:rsidRPr="00F0216F" w:rsidTr="003A2BFF">
        <w:trPr>
          <w:trHeight w:val="7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left="149"/>
              <w:jc w:val="center"/>
              <w:rPr>
                <w:rFonts w:ascii="Arial" w:eastAsia="Arial" w:hAnsi="Arial" w:cs="Arial"/>
                <w:w w:val="98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8"/>
                <w:sz w:val="10"/>
                <w:szCs w:val="20"/>
                <w:lang w:eastAsia="es-ES"/>
              </w:rPr>
              <w:t>Vivienda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de 01/01/1994)</w:t>
            </w:r>
          </w:p>
        </w:tc>
      </w:tr>
      <w:tr w:rsidR="00B77255" w:rsidRPr="00F0216F" w:rsidTr="003A2BFF">
        <w:trPr>
          <w:trHeight w:val="137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1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0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5% del 50% del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Pendiente valoración catastral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impuesto sobre el</w:t>
            </w:r>
          </w:p>
        </w:tc>
      </w:tr>
      <w:tr w:rsidR="00B77255" w:rsidRPr="00F0216F" w:rsidTr="003A2BFF">
        <w:trPr>
          <w:trHeight w:val="135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patrimonio</w:t>
            </w:r>
          </w:p>
        </w:tc>
      </w:tr>
      <w:tr w:rsidR="00B77255" w:rsidRPr="00F0216F" w:rsidTr="003A2BFF">
        <w:trPr>
          <w:trHeight w:val="112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Coste para el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right="116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No propiedad Pagador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 xml:space="preserve">pagador, </w:t>
            </w:r>
            <w:proofErr w:type="spellStart"/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inculidos</w:t>
            </w:r>
            <w:proofErr w:type="spellEnd"/>
          </w:p>
        </w:tc>
      </w:tr>
      <w:tr w:rsidR="00B77255" w:rsidRPr="00F0216F" w:rsidTr="003A2BFF">
        <w:trPr>
          <w:trHeight w:val="135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tributos</w:t>
            </w:r>
          </w:p>
        </w:tc>
      </w:tr>
      <w:tr w:rsidR="00B77255" w:rsidRPr="00F0216F" w:rsidTr="003A2BFF">
        <w:trPr>
          <w:trHeight w:val="112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Coste de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right="118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Entrega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  <w:t>adquisición</w:t>
            </w:r>
          </w:p>
        </w:tc>
      </w:tr>
      <w:tr w:rsidR="00B77255" w:rsidRPr="00F0216F" w:rsidTr="003A2BFF">
        <w:trPr>
          <w:trHeight w:val="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empresario,</w:t>
            </w:r>
          </w:p>
        </w:tc>
      </w:tr>
      <w:tr w:rsidR="00B77255" w:rsidRPr="00F0216F" w:rsidTr="003A2BFF">
        <w:trPr>
          <w:trHeight w:val="7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36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incluidos tributos</w:t>
            </w:r>
          </w:p>
        </w:tc>
      </w:tr>
      <w:tr w:rsidR="00B77255" w:rsidRPr="00F0216F" w:rsidTr="003A2BFF">
        <w:trPr>
          <w:trHeight w:val="112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Propiedad empresa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20% anual coste</w:t>
            </w:r>
          </w:p>
        </w:tc>
      </w:tr>
      <w:tr w:rsidR="00B77255" w:rsidRPr="00F0216F" w:rsidTr="003A2BFF">
        <w:trPr>
          <w:trHeight w:val="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  <w:t>adquisición</w:t>
            </w:r>
          </w:p>
        </w:tc>
      </w:tr>
      <w:tr w:rsidR="00B77255" w:rsidRPr="00F0216F" w:rsidTr="003A2BFF">
        <w:trPr>
          <w:trHeight w:val="71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700" w:type="dxa"/>
            <w:vMerge w:val="restart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left="149"/>
              <w:jc w:val="center"/>
              <w:rPr>
                <w:rFonts w:ascii="Arial" w:eastAsia="Arial" w:hAnsi="Arial" w:cs="Arial"/>
                <w:w w:val="97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7"/>
                <w:sz w:val="10"/>
                <w:szCs w:val="20"/>
                <w:lang w:eastAsia="es-ES"/>
              </w:rPr>
              <w:t>Vehículo</w:t>
            </w:r>
          </w:p>
        </w:tc>
        <w:tc>
          <w:tcPr>
            <w:tcW w:w="22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43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105" w:lineRule="exact"/>
              <w:jc w:val="center"/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  <w:t>Retribuciones</w:t>
            </w:r>
          </w:p>
        </w:tc>
        <w:tc>
          <w:tcPr>
            <w:tcW w:w="700" w:type="dxa"/>
            <w:vMerge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s-ES"/>
              </w:rPr>
            </w:pPr>
          </w:p>
        </w:tc>
        <w:tc>
          <w:tcPr>
            <w:tcW w:w="1040" w:type="dxa"/>
            <w:vMerge w:val="restart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05" w:lineRule="exact"/>
              <w:ind w:left="8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Uso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4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20% anual coste</w:t>
            </w:r>
          </w:p>
        </w:tc>
      </w:tr>
      <w:tr w:rsidR="00B77255" w:rsidRPr="00F0216F" w:rsidTr="003A2BFF">
        <w:trPr>
          <w:trHeight w:val="71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040" w:type="dxa"/>
            <w:vMerge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  <w:t>en especie</w:t>
            </w: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No propiedad empresa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98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8"/>
                <w:sz w:val="10"/>
                <w:szCs w:val="20"/>
                <w:lang w:eastAsia="es-ES"/>
              </w:rPr>
              <w:t>mercado vehículo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  <w:t>-Por norma,</w:t>
            </w:r>
          </w:p>
        </w:tc>
        <w:tc>
          <w:tcPr>
            <w:tcW w:w="70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5"/>
                <w:sz w:val="10"/>
                <w:szCs w:val="20"/>
                <w:lang w:eastAsia="es-ES"/>
              </w:rPr>
              <w:t>nuevo</w:t>
            </w:r>
          </w:p>
        </w:tc>
      </w:tr>
      <w:tr w:rsidR="00B77255" w:rsidRPr="00F0216F" w:rsidTr="003A2BFF">
        <w:trPr>
          <w:trHeight w:val="11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105" w:lineRule="exact"/>
              <w:jc w:val="center"/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  <w:t>convenio o</w:t>
            </w: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4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 xml:space="preserve">% que </w:t>
            </w:r>
            <w:proofErr w:type="spellStart"/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rese</w:t>
            </w:r>
            <w:proofErr w:type="spellEnd"/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 xml:space="preserve"> por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  <w:t>contrato de</w:t>
            </w: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right="116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Uso y posterior entrega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amortizar, a razón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  <w:t>trabajo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de 20% anual</w:t>
            </w:r>
          </w:p>
        </w:tc>
      </w:tr>
      <w:tr w:rsidR="00B77255" w:rsidRPr="00F0216F" w:rsidTr="003A2BFF">
        <w:trPr>
          <w:trHeight w:val="11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106" w:lineRule="exact"/>
              <w:jc w:val="center"/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  <w:t>-Para fines</w:t>
            </w: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4" w:lineRule="exact"/>
              <w:jc w:val="center"/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  <w:t>Diferencia entre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b/>
                <w:sz w:val="10"/>
                <w:szCs w:val="20"/>
                <w:lang w:eastAsia="es-ES"/>
              </w:rPr>
              <w:t>particulares</w:t>
            </w: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right="68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Préstamos con tipo de interés inferior al legal del dinero (2013: 4%, 2014: 4%, 2015: 3,5%)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ambos tipos de</w:t>
            </w:r>
          </w:p>
        </w:tc>
      </w:tr>
      <w:tr w:rsidR="00B77255" w:rsidRPr="00F0216F" w:rsidTr="003A2BFF">
        <w:trPr>
          <w:trHeight w:val="136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  <w:t>interés</w:t>
            </w:r>
          </w:p>
        </w:tc>
      </w:tr>
      <w:tr w:rsidR="00B77255" w:rsidRPr="00F0216F" w:rsidTr="003A2BFF">
        <w:trPr>
          <w:trHeight w:val="112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Coste para el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right="194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Manutención, viajes turismo y similares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empresario,</w:t>
            </w:r>
          </w:p>
        </w:tc>
      </w:tr>
      <w:tr w:rsidR="00B77255" w:rsidRPr="00F0216F" w:rsidTr="003A2BFF">
        <w:trPr>
          <w:trHeight w:val="136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incluidos tributos</w:t>
            </w:r>
          </w:p>
        </w:tc>
      </w:tr>
      <w:tr w:rsidR="00B77255" w:rsidRPr="00F0216F" w:rsidTr="003A2BFF">
        <w:trPr>
          <w:trHeight w:val="112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Al menos 35% del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58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Derechos de fundadores de Sociedades (Porcentaje sobre beneficios de la sociedad que se reserven los fundadores 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capital social que</w:t>
            </w:r>
          </w:p>
        </w:tc>
      </w:tr>
      <w:tr w:rsidR="00B77255" w:rsidRPr="00F0216F" w:rsidTr="003A2BFF">
        <w:trPr>
          <w:trHeight w:val="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5880" w:type="dxa"/>
            <w:gridSpan w:val="5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permita la misma</w:t>
            </w:r>
          </w:p>
        </w:tc>
      </w:tr>
      <w:tr w:rsidR="00B77255" w:rsidRPr="00F0216F" w:rsidTr="003A2BFF">
        <w:trPr>
          <w:trHeight w:val="7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right="194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proofErr w:type="spellStart"/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propmotores</w:t>
            </w:r>
            <w:proofErr w:type="spellEnd"/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 xml:space="preserve"> por sus servicios personales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participación en</w:t>
            </w:r>
          </w:p>
        </w:tc>
      </w:tr>
      <w:tr w:rsidR="00B77255" w:rsidRPr="00F0216F" w:rsidTr="003A2BFF">
        <w:trPr>
          <w:trHeight w:val="7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36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los beneficios</w:t>
            </w:r>
          </w:p>
        </w:tc>
      </w:tr>
      <w:tr w:rsidR="00B77255" w:rsidRPr="00F0216F" w:rsidTr="003A2BFF">
        <w:trPr>
          <w:trHeight w:val="112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Coste para el</w:t>
            </w:r>
          </w:p>
        </w:tc>
      </w:tr>
      <w:tr w:rsidR="00B77255" w:rsidRPr="00F0216F" w:rsidTr="003A2BFF">
        <w:trPr>
          <w:trHeight w:val="13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right="68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Gastos estudios y manutención (incluidos familiares) excepto estudios exigidos por el trabajo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empresario,</w:t>
            </w:r>
          </w:p>
        </w:tc>
      </w:tr>
      <w:tr w:rsidR="00B77255" w:rsidRPr="00F0216F" w:rsidTr="003A2BFF">
        <w:trPr>
          <w:trHeight w:val="135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incluidos tributos</w:t>
            </w:r>
          </w:p>
        </w:tc>
      </w:tr>
      <w:tr w:rsidR="00B77255" w:rsidRPr="00F0216F" w:rsidTr="003A2BFF">
        <w:trPr>
          <w:trHeight w:val="112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11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Propiedad empresa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Valor de mercado</w:t>
            </w:r>
          </w:p>
        </w:tc>
      </w:tr>
      <w:tr w:rsidR="00B77255" w:rsidRPr="00F0216F" w:rsidTr="003A2BFF">
        <w:trPr>
          <w:trHeight w:val="11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105" w:lineRule="exact"/>
              <w:ind w:left="6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Plaza de garaje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Alquiler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4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Coste para el</w:t>
            </w:r>
          </w:p>
        </w:tc>
      </w:tr>
      <w:tr w:rsidR="00B77255" w:rsidRPr="00F0216F" w:rsidTr="003A2BFF">
        <w:trPr>
          <w:trHeight w:val="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  <w:t>empresario</w:t>
            </w:r>
          </w:p>
        </w:tc>
      </w:tr>
      <w:tr w:rsidR="00B77255" w:rsidRPr="00F0216F" w:rsidTr="003A2BFF">
        <w:trPr>
          <w:trHeight w:val="72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12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right="116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Bolsa de navidad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Coste para el</w:t>
            </w:r>
          </w:p>
        </w:tc>
      </w:tr>
      <w:tr w:rsidR="00B77255" w:rsidRPr="00F0216F" w:rsidTr="003A2BFF">
        <w:trPr>
          <w:trHeight w:val="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700" w:type="dxa"/>
            <w:vMerge w:val="restart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left="129"/>
              <w:jc w:val="center"/>
              <w:rPr>
                <w:rFonts w:ascii="Arial" w:eastAsia="Arial" w:hAnsi="Arial" w:cs="Arial"/>
                <w:w w:val="97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7"/>
                <w:sz w:val="10"/>
                <w:szCs w:val="20"/>
                <w:lang w:eastAsia="es-ES"/>
              </w:rPr>
              <w:t>Otros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  <w:t>empresario</w:t>
            </w:r>
          </w:p>
        </w:tc>
      </w:tr>
      <w:tr w:rsidR="00B77255" w:rsidRPr="00F0216F" w:rsidTr="003A2BFF">
        <w:trPr>
          <w:trHeight w:val="73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700" w:type="dxa"/>
            <w:vMerge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12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right="1189"/>
              <w:jc w:val="center"/>
              <w:rPr>
                <w:rFonts w:ascii="Arial" w:eastAsia="Arial" w:hAnsi="Arial" w:cs="Arial"/>
                <w:w w:val="98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8"/>
                <w:sz w:val="10"/>
                <w:szCs w:val="20"/>
                <w:lang w:eastAsia="es-ES"/>
              </w:rPr>
              <w:t>Juguetes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Coste para el</w:t>
            </w:r>
          </w:p>
        </w:tc>
      </w:tr>
      <w:tr w:rsidR="00B77255" w:rsidRPr="00F0216F" w:rsidTr="003A2BFF">
        <w:trPr>
          <w:trHeight w:val="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  <w:t>empresario</w:t>
            </w:r>
          </w:p>
        </w:tc>
      </w:tr>
      <w:tr w:rsidR="00B77255" w:rsidRPr="00F0216F" w:rsidTr="003A2BFF">
        <w:trPr>
          <w:trHeight w:val="73"/>
        </w:trPr>
        <w:tc>
          <w:tcPr>
            <w:tcW w:w="860" w:type="dxa"/>
            <w:tcBorders>
              <w:bottom w:val="single" w:sz="8" w:space="0" w:color="C2F4F6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FFF0C1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12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ind w:right="116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Otros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112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Coste para el</w:t>
            </w:r>
          </w:p>
        </w:tc>
      </w:tr>
      <w:tr w:rsidR="00B77255" w:rsidRPr="00F0216F" w:rsidTr="003A2BFF">
        <w:trPr>
          <w:trHeight w:val="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70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s-ES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99"/>
                <w:sz w:val="10"/>
                <w:szCs w:val="20"/>
                <w:lang w:eastAsia="es-ES"/>
              </w:rPr>
              <w:t>empresario</w:t>
            </w:r>
          </w:p>
        </w:tc>
      </w:tr>
      <w:tr w:rsidR="00B77255" w:rsidRPr="00F0216F" w:rsidTr="003A2BFF">
        <w:trPr>
          <w:trHeight w:val="7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0C1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0C1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28"/>
        </w:trPr>
        <w:tc>
          <w:tcPr>
            <w:tcW w:w="6740" w:type="dxa"/>
            <w:gridSpan w:val="6"/>
            <w:tcBorders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Donaciones Promocionales. Las cantidades en dinero o los productos en especie entregados por empresarios a sus trabajadores como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</w:tr>
      <w:tr w:rsidR="00B77255" w:rsidRPr="00F0216F" w:rsidTr="003A2BFF">
        <w:trPr>
          <w:trHeight w:val="136"/>
        </w:trPr>
        <w:tc>
          <w:tcPr>
            <w:tcW w:w="860" w:type="dxa"/>
            <w:tcBorders>
              <w:bottom w:val="single" w:sz="8" w:space="0" w:color="auto"/>
              <w:right w:val="single" w:sz="8" w:space="0" w:color="C2F4F6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s-ES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C2F4F6"/>
            <w:vAlign w:val="bottom"/>
          </w:tcPr>
          <w:p w:rsidR="00B77255" w:rsidRPr="00F0216F" w:rsidRDefault="00B77255" w:rsidP="003A2BFF">
            <w:pPr>
              <w:spacing w:after="0" w:line="0" w:lineRule="atLeast"/>
              <w:ind w:right="769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donaciones promocionales y, en general, con la finalidad exclusiva de que un tercero celebre contratos con aquél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w w:val="73"/>
                <w:sz w:val="8"/>
                <w:szCs w:val="20"/>
                <w:lang w:eastAsia="es-ES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255" w:rsidRPr="00F0216F" w:rsidRDefault="00B77255" w:rsidP="003A2BFF">
            <w:pPr>
              <w:spacing w:after="0" w:line="0" w:lineRule="atLeast"/>
              <w:jc w:val="center"/>
              <w:rPr>
                <w:rFonts w:ascii="Arial" w:eastAsia="Arial" w:hAnsi="Arial" w:cs="Arial"/>
                <w:sz w:val="10"/>
                <w:szCs w:val="20"/>
                <w:lang w:eastAsia="es-ES"/>
              </w:rPr>
            </w:pPr>
            <w:r w:rsidRPr="00F0216F">
              <w:rPr>
                <w:rFonts w:ascii="Arial" w:eastAsia="Arial" w:hAnsi="Arial" w:cs="Arial"/>
                <w:sz w:val="10"/>
                <w:szCs w:val="20"/>
                <w:lang w:eastAsia="es-ES"/>
              </w:rPr>
              <w:t>Importe</w:t>
            </w:r>
          </w:p>
        </w:tc>
      </w:tr>
    </w:tbl>
    <w:p w:rsidR="00C234A4" w:rsidRDefault="00C234A4"/>
    <w:p w:rsidR="00C234A4" w:rsidRDefault="00C234A4"/>
    <w:sectPr w:rsidR="00C234A4" w:rsidSect="00B77255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A1"/>
    <w:rsid w:val="005174A1"/>
    <w:rsid w:val="00530077"/>
    <w:rsid w:val="0078271E"/>
    <w:rsid w:val="00B77255"/>
    <w:rsid w:val="00C234A4"/>
    <w:rsid w:val="00F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2017-01-25T17:16:00Z</dcterms:created>
  <dcterms:modified xsi:type="dcterms:W3CDTF">2017-01-25T17:39:00Z</dcterms:modified>
</cp:coreProperties>
</file>